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0AEE5" w14:textId="2B8F8D17" w:rsidR="00F6731F" w:rsidRPr="00AF4026" w:rsidRDefault="002F57B0" w:rsidP="009C4923">
      <w:pPr>
        <w:pStyle w:val="Heading1"/>
      </w:pPr>
      <w:r>
        <w:t>NCVHS Predictability Roadmap</w:t>
      </w:r>
    </w:p>
    <w:p w14:paraId="6BB81E79" w14:textId="4A2A4FAE" w:rsidR="00C713D2" w:rsidRPr="00C713D2" w:rsidRDefault="002F57B0" w:rsidP="00C713D2">
      <w:pPr>
        <w:pStyle w:val="Subtitle"/>
      </w:pPr>
      <w:r>
        <w:t>Lantana Comments</w:t>
      </w:r>
      <w:r w:rsidR="00043A68">
        <w:t xml:space="preserve">—Amended </w:t>
      </w:r>
    </w:p>
    <w:p w14:paraId="13E280CE" w14:textId="0CC3A857" w:rsidR="00F86CE8" w:rsidRDefault="002F57B0" w:rsidP="00FB76D9">
      <w:pPr>
        <w:pStyle w:val="SubtitleDate"/>
      </w:pPr>
      <w:r>
        <w:t>Decembe</w:t>
      </w:r>
      <w:r w:rsidR="007609A1">
        <w:t>r</w:t>
      </w:r>
      <w:r w:rsidR="00133CF2">
        <w:t xml:space="preserve"> 20,</w:t>
      </w:r>
      <w:r>
        <w:t xml:space="preserve"> 2018</w:t>
      </w:r>
    </w:p>
    <w:p w14:paraId="194C03B4" w14:textId="511785F5" w:rsidR="00C713D2" w:rsidRPr="006C6012" w:rsidRDefault="00C713D2" w:rsidP="00C713D2">
      <w:pPr>
        <w:pStyle w:val="SubtitleDate"/>
      </w:pPr>
      <w:r>
        <w:t>(post hearing)</w:t>
      </w:r>
    </w:p>
    <w:p w14:paraId="491DDA49" w14:textId="77777777" w:rsidR="00C713D2" w:rsidRPr="00C713D2" w:rsidRDefault="00C713D2" w:rsidP="00C713D2"/>
    <w:p w14:paraId="3053B6A7" w14:textId="77777777" w:rsidR="003B0DF0" w:rsidRDefault="00F6731F" w:rsidP="00FB76D9">
      <w:pPr>
        <w:pStyle w:val="ClientName"/>
      </w:pPr>
      <w:r w:rsidRPr="00FD6E6E">
        <w:t xml:space="preserve">Prepared </w:t>
      </w:r>
      <w:r w:rsidR="00094331">
        <w:t xml:space="preserve">for </w:t>
      </w:r>
      <w:r w:rsidR="002F57B0">
        <w:t>National Committee on Vital Health Care Statistics</w:t>
      </w:r>
      <w:r w:rsidR="00094331">
        <w:t>: Subcommittee on Standards</w:t>
      </w:r>
    </w:p>
    <w:p w14:paraId="73741F7F" w14:textId="675149DE" w:rsidR="00F6731F" w:rsidRPr="00FD6E6E" w:rsidRDefault="003B0DF0" w:rsidP="00FB76D9">
      <w:pPr>
        <w:pStyle w:val="ClientName"/>
      </w:pPr>
      <w:r>
        <w:rPr>
          <w:noProof/>
        </w:rPr>
        <w:drawing>
          <wp:inline distT="0" distB="0" distL="0" distR="0" wp14:anchorId="6576F213" wp14:editId="526AD3EF">
            <wp:extent cx="2857500" cy="952500"/>
            <wp:effectExtent l="0" t="0" r="0" b="0"/>
            <wp:docPr id="1" name="Picture 1" descr="National Committee on Vital and Health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Committee on Vital and Health Statistic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952500"/>
                    </a:xfrm>
                    <a:prstGeom prst="rect">
                      <a:avLst/>
                    </a:prstGeom>
                    <a:noFill/>
                    <a:ln>
                      <a:noFill/>
                    </a:ln>
                  </pic:spPr>
                </pic:pic>
              </a:graphicData>
            </a:graphic>
          </wp:inline>
        </w:drawing>
      </w:r>
      <w:r w:rsidR="00F6731F" w:rsidRPr="00FD6E6E">
        <w:t xml:space="preserve"> </w:t>
      </w:r>
    </w:p>
    <w:p w14:paraId="1827BA54" w14:textId="48274A5A" w:rsidR="001366CA" w:rsidRDefault="001366CA" w:rsidP="00FB76D9"/>
    <w:p w14:paraId="265C2727" w14:textId="3856CF72" w:rsidR="00270E93" w:rsidRDefault="00270E93" w:rsidP="00FB76D9"/>
    <w:p w14:paraId="75611ECE" w14:textId="29E7AF3C" w:rsidR="00270E93" w:rsidRDefault="00270E93" w:rsidP="00FB76D9"/>
    <w:p w14:paraId="383A67F0" w14:textId="33B2458B" w:rsidR="00270E93" w:rsidRDefault="00270E93" w:rsidP="00FB76D9"/>
    <w:p w14:paraId="5922B9CA" w14:textId="243E617C" w:rsidR="00270E93" w:rsidRDefault="00270E93" w:rsidP="00FB76D9"/>
    <w:p w14:paraId="082EA97E" w14:textId="0128F947" w:rsidR="00270E93" w:rsidRDefault="00270E93" w:rsidP="00FB76D9"/>
    <w:p w14:paraId="1BEFDC9B" w14:textId="5BEEE88C" w:rsidR="00270E93" w:rsidRDefault="00270E93" w:rsidP="00FB76D9"/>
    <w:p w14:paraId="775C17B6" w14:textId="2306A957" w:rsidR="00270E93" w:rsidRDefault="00270E93" w:rsidP="00FB76D9"/>
    <w:p w14:paraId="519B2AC6" w14:textId="48C4C24C" w:rsidR="00270E93" w:rsidRDefault="00270E93" w:rsidP="00FB76D9"/>
    <w:p w14:paraId="3F5ECBAE" w14:textId="32B8A588" w:rsidR="00270E93" w:rsidRDefault="00270E93" w:rsidP="00FB76D9"/>
    <w:p w14:paraId="70B32BA5" w14:textId="249E3F98" w:rsidR="00270E93" w:rsidRDefault="00270E93" w:rsidP="00FB76D9"/>
    <w:p w14:paraId="65FA7E5C" w14:textId="77777777" w:rsidR="00270E93" w:rsidRPr="00A8094F" w:rsidRDefault="00270E93" w:rsidP="00FB76D9"/>
    <w:p w14:paraId="4723E9B4" w14:textId="77777777" w:rsidR="00D42623" w:rsidRPr="00AA6E10" w:rsidRDefault="00D42623" w:rsidP="00FB76D9">
      <w:r w:rsidRPr="00AA6E10">
        <w:t>Lantana Consulting Group</w:t>
      </w:r>
      <w:r w:rsidRPr="00AA6E10">
        <w:br/>
        <w:t>PO Box 177</w:t>
      </w:r>
      <w:r w:rsidRPr="00AA6E10">
        <w:br/>
        <w:t>East Thetford, VT 05043</w:t>
      </w:r>
      <w:r w:rsidRPr="00AA6E10">
        <w:br/>
      </w:r>
      <w:hyperlink r:id="rId12" w:history="1">
        <w:r w:rsidRPr="00AA6E10">
          <w:rPr>
            <w:rStyle w:val="Hyperlink"/>
          </w:rPr>
          <w:t>www.lantanagroup.com</w:t>
        </w:r>
      </w:hyperlink>
    </w:p>
    <w:p w14:paraId="47C97947" w14:textId="77777777" w:rsidR="00D42623" w:rsidRPr="00AA6E10" w:rsidRDefault="00D42623" w:rsidP="00FB76D9">
      <w:r w:rsidRPr="00AA6E10">
        <w:t>Liora Alschuler</w:t>
      </w:r>
      <w:r w:rsidRPr="00AA6E10">
        <w:br/>
        <w:t>Chief Executive Officer</w:t>
      </w:r>
      <w:r w:rsidRPr="00AA6E10">
        <w:br/>
      </w:r>
      <w:hyperlink r:id="rId13" w:history="1">
        <w:r w:rsidRPr="00AA6E10">
          <w:rPr>
            <w:rStyle w:val="Hyperlink"/>
          </w:rPr>
          <w:t>liora.alschuler@lantanagroup.com</w:t>
        </w:r>
      </w:hyperlink>
    </w:p>
    <w:p w14:paraId="6FDD4050" w14:textId="1CF2B87C" w:rsidR="00B447C8" w:rsidRPr="00E83045" w:rsidRDefault="00B447C8" w:rsidP="009C4923">
      <w:pPr>
        <w:pStyle w:val="TOCHeading"/>
      </w:pPr>
      <w:r w:rsidRPr="00AA6E10">
        <w:br w:type="page"/>
      </w:r>
      <w:r>
        <w:lastRenderedPageBreak/>
        <w:t>Contents</w:t>
      </w:r>
    </w:p>
    <w:p w14:paraId="0FE82A22" w14:textId="6435EEEE" w:rsidR="004D00F2" w:rsidRDefault="00FD7196">
      <w:pPr>
        <w:pStyle w:val="TOC1"/>
        <w:tabs>
          <w:tab w:val="left" w:pos="480"/>
        </w:tabs>
        <w:rPr>
          <w:rFonts w:eastAsiaTheme="minorEastAsia"/>
          <w:b w:val="0"/>
          <w:noProof/>
          <w:sz w:val="22"/>
        </w:rPr>
      </w:pPr>
      <w:r w:rsidRPr="00AA6E10">
        <w:fldChar w:fldCharType="begin"/>
      </w:r>
      <w:r w:rsidRPr="00AA6E10">
        <w:instrText xml:space="preserve"> TOC \h \z \t "Heading 2,1,Heading 3,2,Heading 4,3,Heading 5,4,Appendix 1,1,Appendix 2,2,Appendix 3,3,Heading 2-no number,1" </w:instrText>
      </w:r>
      <w:r w:rsidRPr="00AA6E10">
        <w:fldChar w:fldCharType="separate"/>
      </w:r>
      <w:hyperlink w:anchor="_Toc533096807" w:history="1">
        <w:r w:rsidR="004D00F2" w:rsidRPr="00C67F40">
          <w:rPr>
            <w:rStyle w:val="Hyperlink"/>
            <w:noProof/>
          </w:rPr>
          <w:t>1</w:t>
        </w:r>
        <w:r w:rsidR="004D00F2">
          <w:rPr>
            <w:rFonts w:eastAsiaTheme="minorEastAsia"/>
            <w:b w:val="0"/>
            <w:noProof/>
            <w:sz w:val="22"/>
          </w:rPr>
          <w:tab/>
        </w:r>
        <w:r w:rsidR="004D00F2" w:rsidRPr="00C67F40">
          <w:rPr>
            <w:rStyle w:val="Hyperlink"/>
            <w:noProof/>
          </w:rPr>
          <w:t>Our Vantage Point on Standards &amp; Adoption</w:t>
        </w:r>
        <w:r w:rsidR="004D00F2">
          <w:rPr>
            <w:noProof/>
            <w:webHidden/>
          </w:rPr>
          <w:tab/>
        </w:r>
        <w:r w:rsidR="004D00F2">
          <w:rPr>
            <w:noProof/>
            <w:webHidden/>
          </w:rPr>
          <w:fldChar w:fldCharType="begin"/>
        </w:r>
        <w:r w:rsidR="004D00F2">
          <w:rPr>
            <w:noProof/>
            <w:webHidden/>
          </w:rPr>
          <w:instrText xml:space="preserve"> PAGEREF _Toc533096807 \h </w:instrText>
        </w:r>
        <w:r w:rsidR="004D00F2">
          <w:rPr>
            <w:noProof/>
            <w:webHidden/>
          </w:rPr>
        </w:r>
        <w:r w:rsidR="004D00F2">
          <w:rPr>
            <w:noProof/>
            <w:webHidden/>
          </w:rPr>
          <w:fldChar w:fldCharType="separate"/>
        </w:r>
        <w:r w:rsidR="004010A6">
          <w:rPr>
            <w:noProof/>
            <w:webHidden/>
          </w:rPr>
          <w:t>1</w:t>
        </w:r>
        <w:r w:rsidR="004D00F2">
          <w:rPr>
            <w:noProof/>
            <w:webHidden/>
          </w:rPr>
          <w:fldChar w:fldCharType="end"/>
        </w:r>
      </w:hyperlink>
    </w:p>
    <w:p w14:paraId="58A50EE0" w14:textId="56BE5C80" w:rsidR="004D00F2" w:rsidRDefault="004D00F2">
      <w:pPr>
        <w:pStyle w:val="TOC1"/>
        <w:tabs>
          <w:tab w:val="left" w:pos="480"/>
        </w:tabs>
        <w:rPr>
          <w:rFonts w:eastAsiaTheme="minorEastAsia"/>
          <w:b w:val="0"/>
          <w:noProof/>
          <w:sz w:val="22"/>
        </w:rPr>
      </w:pPr>
      <w:hyperlink w:anchor="_Toc533096808" w:history="1">
        <w:r w:rsidRPr="00C67F40">
          <w:rPr>
            <w:rStyle w:val="Hyperlink"/>
            <w:noProof/>
          </w:rPr>
          <w:t>2</w:t>
        </w:r>
        <w:r>
          <w:rPr>
            <w:rFonts w:eastAsiaTheme="minorEastAsia"/>
            <w:b w:val="0"/>
            <w:noProof/>
            <w:sz w:val="22"/>
          </w:rPr>
          <w:tab/>
        </w:r>
        <w:r w:rsidRPr="00C67F40">
          <w:rPr>
            <w:rStyle w:val="Hyperlink"/>
            <w:noProof/>
          </w:rPr>
          <w:t>General Comments</w:t>
        </w:r>
        <w:r>
          <w:rPr>
            <w:noProof/>
            <w:webHidden/>
          </w:rPr>
          <w:tab/>
        </w:r>
        <w:r>
          <w:rPr>
            <w:noProof/>
            <w:webHidden/>
          </w:rPr>
          <w:fldChar w:fldCharType="begin"/>
        </w:r>
        <w:r>
          <w:rPr>
            <w:noProof/>
            <w:webHidden/>
          </w:rPr>
          <w:instrText xml:space="preserve"> PAGEREF _Toc533096808 \h </w:instrText>
        </w:r>
        <w:r>
          <w:rPr>
            <w:noProof/>
            <w:webHidden/>
          </w:rPr>
        </w:r>
        <w:r>
          <w:rPr>
            <w:noProof/>
            <w:webHidden/>
          </w:rPr>
          <w:fldChar w:fldCharType="separate"/>
        </w:r>
        <w:r w:rsidR="004010A6">
          <w:rPr>
            <w:noProof/>
            <w:webHidden/>
          </w:rPr>
          <w:t>2</w:t>
        </w:r>
        <w:r>
          <w:rPr>
            <w:noProof/>
            <w:webHidden/>
          </w:rPr>
          <w:fldChar w:fldCharType="end"/>
        </w:r>
      </w:hyperlink>
    </w:p>
    <w:p w14:paraId="4F388DE0" w14:textId="00BC3A5E" w:rsidR="004D00F2" w:rsidRDefault="004D00F2">
      <w:pPr>
        <w:pStyle w:val="TOC1"/>
        <w:tabs>
          <w:tab w:val="left" w:pos="480"/>
        </w:tabs>
        <w:rPr>
          <w:rFonts w:eastAsiaTheme="minorEastAsia"/>
          <w:b w:val="0"/>
          <w:noProof/>
          <w:sz w:val="22"/>
        </w:rPr>
      </w:pPr>
      <w:hyperlink w:anchor="_Toc533096809" w:history="1">
        <w:r w:rsidRPr="00C67F40">
          <w:rPr>
            <w:rStyle w:val="Hyperlink"/>
            <w:noProof/>
          </w:rPr>
          <w:t>3</w:t>
        </w:r>
        <w:r>
          <w:rPr>
            <w:rFonts w:eastAsiaTheme="minorEastAsia"/>
            <w:b w:val="0"/>
            <w:noProof/>
            <w:sz w:val="22"/>
          </w:rPr>
          <w:tab/>
        </w:r>
        <w:r w:rsidRPr="00C67F40">
          <w:rPr>
            <w:rStyle w:val="Hyperlink"/>
            <w:noProof/>
          </w:rPr>
          <w:t>Response to Questions</w:t>
        </w:r>
        <w:r>
          <w:rPr>
            <w:noProof/>
            <w:webHidden/>
          </w:rPr>
          <w:tab/>
        </w:r>
        <w:r>
          <w:rPr>
            <w:noProof/>
            <w:webHidden/>
          </w:rPr>
          <w:fldChar w:fldCharType="begin"/>
        </w:r>
        <w:r>
          <w:rPr>
            <w:noProof/>
            <w:webHidden/>
          </w:rPr>
          <w:instrText xml:space="preserve"> PAGEREF _Toc533096809 \h </w:instrText>
        </w:r>
        <w:r>
          <w:rPr>
            <w:noProof/>
            <w:webHidden/>
          </w:rPr>
        </w:r>
        <w:r>
          <w:rPr>
            <w:noProof/>
            <w:webHidden/>
          </w:rPr>
          <w:fldChar w:fldCharType="separate"/>
        </w:r>
        <w:r w:rsidR="004010A6">
          <w:rPr>
            <w:noProof/>
            <w:webHidden/>
          </w:rPr>
          <w:t>2</w:t>
        </w:r>
        <w:r>
          <w:rPr>
            <w:noProof/>
            <w:webHidden/>
          </w:rPr>
          <w:fldChar w:fldCharType="end"/>
        </w:r>
      </w:hyperlink>
    </w:p>
    <w:p w14:paraId="47A7B6CC" w14:textId="3DC76102" w:rsidR="004D00F2" w:rsidRDefault="004D00F2">
      <w:pPr>
        <w:pStyle w:val="TOC2"/>
        <w:rPr>
          <w:rFonts w:asciiTheme="minorHAnsi" w:eastAsiaTheme="minorEastAsia" w:hAnsiTheme="minorHAnsi"/>
          <w:sz w:val="22"/>
        </w:rPr>
      </w:pPr>
      <w:hyperlink w:anchor="_Toc533096810" w:history="1">
        <w:r w:rsidRPr="00C67F40">
          <w:rPr>
            <w:rStyle w:val="Hyperlink"/>
          </w:rPr>
          <w:t>3.1</w:t>
        </w:r>
        <w:r>
          <w:rPr>
            <w:rFonts w:asciiTheme="minorHAnsi" w:eastAsiaTheme="minorEastAsia" w:hAnsiTheme="minorHAnsi"/>
            <w:sz w:val="22"/>
          </w:rPr>
          <w:tab/>
        </w:r>
        <w:r w:rsidRPr="00C67F40">
          <w:rPr>
            <w:rStyle w:val="Hyperlink"/>
          </w:rPr>
          <w:t>Would these recommendations as a whole improve the predictability of the adoption of administrative standards and operating rules?</w:t>
        </w:r>
        <w:r>
          <w:rPr>
            <w:webHidden/>
          </w:rPr>
          <w:tab/>
        </w:r>
        <w:r>
          <w:rPr>
            <w:webHidden/>
          </w:rPr>
          <w:fldChar w:fldCharType="begin"/>
        </w:r>
        <w:r>
          <w:rPr>
            <w:webHidden/>
          </w:rPr>
          <w:instrText xml:space="preserve"> PAGEREF _Toc533096810 \h </w:instrText>
        </w:r>
        <w:r>
          <w:rPr>
            <w:webHidden/>
          </w:rPr>
        </w:r>
        <w:r>
          <w:rPr>
            <w:webHidden/>
          </w:rPr>
          <w:fldChar w:fldCharType="separate"/>
        </w:r>
        <w:r w:rsidR="004010A6">
          <w:rPr>
            <w:webHidden/>
          </w:rPr>
          <w:t>2</w:t>
        </w:r>
        <w:r>
          <w:rPr>
            <w:webHidden/>
          </w:rPr>
          <w:fldChar w:fldCharType="end"/>
        </w:r>
      </w:hyperlink>
    </w:p>
    <w:p w14:paraId="081C8395" w14:textId="72824834" w:rsidR="004D00F2" w:rsidRDefault="004D00F2">
      <w:pPr>
        <w:pStyle w:val="TOC3"/>
        <w:tabs>
          <w:tab w:val="left" w:pos="1200"/>
          <w:tab w:val="right" w:leader="dot" w:pos="9350"/>
        </w:tabs>
        <w:rPr>
          <w:rFonts w:asciiTheme="minorHAnsi" w:eastAsiaTheme="minorEastAsia" w:hAnsiTheme="minorHAnsi"/>
          <w:noProof/>
          <w:sz w:val="22"/>
        </w:rPr>
      </w:pPr>
      <w:hyperlink w:anchor="_Toc533096811" w:history="1">
        <w:r w:rsidRPr="00C67F40">
          <w:rPr>
            <w:rStyle w:val="Hyperlink"/>
            <w:noProof/>
          </w:rPr>
          <w:t>3.1.1</w:t>
        </w:r>
        <w:r>
          <w:rPr>
            <w:rFonts w:asciiTheme="minorHAnsi" w:eastAsiaTheme="minorEastAsia" w:hAnsiTheme="minorHAnsi"/>
            <w:noProof/>
            <w:sz w:val="22"/>
          </w:rPr>
          <w:tab/>
        </w:r>
        <w:r w:rsidRPr="00C67F40">
          <w:rPr>
            <w:rStyle w:val="Hyperlink"/>
            <w:noProof/>
          </w:rPr>
          <w:t>Education &amp; Outreach</w:t>
        </w:r>
        <w:r>
          <w:rPr>
            <w:noProof/>
            <w:webHidden/>
          </w:rPr>
          <w:tab/>
        </w:r>
        <w:r>
          <w:rPr>
            <w:noProof/>
            <w:webHidden/>
          </w:rPr>
          <w:fldChar w:fldCharType="begin"/>
        </w:r>
        <w:r>
          <w:rPr>
            <w:noProof/>
            <w:webHidden/>
          </w:rPr>
          <w:instrText xml:space="preserve"> PAGEREF _Toc533096811 \h </w:instrText>
        </w:r>
        <w:r>
          <w:rPr>
            <w:noProof/>
            <w:webHidden/>
          </w:rPr>
        </w:r>
        <w:r>
          <w:rPr>
            <w:noProof/>
            <w:webHidden/>
          </w:rPr>
          <w:fldChar w:fldCharType="separate"/>
        </w:r>
        <w:r w:rsidR="004010A6">
          <w:rPr>
            <w:noProof/>
            <w:webHidden/>
          </w:rPr>
          <w:t>2</w:t>
        </w:r>
        <w:r>
          <w:rPr>
            <w:noProof/>
            <w:webHidden/>
          </w:rPr>
          <w:fldChar w:fldCharType="end"/>
        </w:r>
      </w:hyperlink>
    </w:p>
    <w:p w14:paraId="48F0ABF1" w14:textId="54EB2BA5" w:rsidR="004D00F2" w:rsidRDefault="004D00F2">
      <w:pPr>
        <w:pStyle w:val="TOC3"/>
        <w:tabs>
          <w:tab w:val="left" w:pos="1200"/>
          <w:tab w:val="right" w:leader="dot" w:pos="9350"/>
        </w:tabs>
        <w:rPr>
          <w:rFonts w:asciiTheme="minorHAnsi" w:eastAsiaTheme="minorEastAsia" w:hAnsiTheme="minorHAnsi"/>
          <w:noProof/>
          <w:sz w:val="22"/>
        </w:rPr>
      </w:pPr>
      <w:hyperlink w:anchor="_Toc533096812" w:history="1">
        <w:r w:rsidRPr="00C67F40">
          <w:rPr>
            <w:rStyle w:val="Hyperlink"/>
            <w:noProof/>
          </w:rPr>
          <w:t>3.1.2</w:t>
        </w:r>
        <w:r>
          <w:rPr>
            <w:rFonts w:asciiTheme="minorHAnsi" w:eastAsiaTheme="minorEastAsia" w:hAnsiTheme="minorHAnsi"/>
            <w:noProof/>
            <w:sz w:val="22"/>
          </w:rPr>
          <w:tab/>
        </w:r>
        <w:r w:rsidRPr="00C67F40">
          <w:rPr>
            <w:rStyle w:val="Hyperlink"/>
            <w:noProof/>
          </w:rPr>
          <w:t>Policy Levers</w:t>
        </w:r>
        <w:r>
          <w:rPr>
            <w:noProof/>
            <w:webHidden/>
          </w:rPr>
          <w:tab/>
        </w:r>
        <w:r>
          <w:rPr>
            <w:noProof/>
            <w:webHidden/>
          </w:rPr>
          <w:fldChar w:fldCharType="begin"/>
        </w:r>
        <w:r>
          <w:rPr>
            <w:noProof/>
            <w:webHidden/>
          </w:rPr>
          <w:instrText xml:space="preserve"> PAGEREF _Toc533096812 \h </w:instrText>
        </w:r>
        <w:r>
          <w:rPr>
            <w:noProof/>
            <w:webHidden/>
          </w:rPr>
        </w:r>
        <w:r>
          <w:rPr>
            <w:noProof/>
            <w:webHidden/>
          </w:rPr>
          <w:fldChar w:fldCharType="separate"/>
        </w:r>
        <w:r w:rsidR="004010A6">
          <w:rPr>
            <w:noProof/>
            <w:webHidden/>
          </w:rPr>
          <w:t>3</w:t>
        </w:r>
        <w:r>
          <w:rPr>
            <w:noProof/>
            <w:webHidden/>
          </w:rPr>
          <w:fldChar w:fldCharType="end"/>
        </w:r>
      </w:hyperlink>
    </w:p>
    <w:p w14:paraId="54011AF6" w14:textId="6AD921E8" w:rsidR="004D00F2" w:rsidRDefault="004D00F2">
      <w:pPr>
        <w:pStyle w:val="TOC3"/>
        <w:tabs>
          <w:tab w:val="left" w:pos="1200"/>
          <w:tab w:val="right" w:leader="dot" w:pos="9350"/>
        </w:tabs>
        <w:rPr>
          <w:rFonts w:asciiTheme="minorHAnsi" w:eastAsiaTheme="minorEastAsia" w:hAnsiTheme="minorHAnsi"/>
          <w:noProof/>
          <w:sz w:val="22"/>
        </w:rPr>
      </w:pPr>
      <w:hyperlink w:anchor="_Toc533096813" w:history="1">
        <w:r w:rsidRPr="00C67F40">
          <w:rPr>
            <w:rStyle w:val="Hyperlink"/>
            <w:noProof/>
          </w:rPr>
          <w:t>3.1.3</w:t>
        </w:r>
        <w:r>
          <w:rPr>
            <w:rFonts w:asciiTheme="minorHAnsi" w:eastAsiaTheme="minorEastAsia" w:hAnsiTheme="minorHAnsi"/>
            <w:noProof/>
            <w:sz w:val="22"/>
          </w:rPr>
          <w:tab/>
        </w:r>
        <w:r w:rsidRPr="00C67F40">
          <w:rPr>
            <w:rStyle w:val="Hyperlink"/>
            <w:noProof/>
          </w:rPr>
          <w:t>Regulatory Actions</w:t>
        </w:r>
        <w:r>
          <w:rPr>
            <w:noProof/>
            <w:webHidden/>
          </w:rPr>
          <w:tab/>
        </w:r>
        <w:r>
          <w:rPr>
            <w:noProof/>
            <w:webHidden/>
          </w:rPr>
          <w:fldChar w:fldCharType="begin"/>
        </w:r>
        <w:r>
          <w:rPr>
            <w:noProof/>
            <w:webHidden/>
          </w:rPr>
          <w:instrText xml:space="preserve"> PAGEREF _Toc533096813 \h </w:instrText>
        </w:r>
        <w:r>
          <w:rPr>
            <w:noProof/>
            <w:webHidden/>
          </w:rPr>
        </w:r>
        <w:r>
          <w:rPr>
            <w:noProof/>
            <w:webHidden/>
          </w:rPr>
          <w:fldChar w:fldCharType="separate"/>
        </w:r>
        <w:r w:rsidR="004010A6">
          <w:rPr>
            <w:noProof/>
            <w:webHidden/>
          </w:rPr>
          <w:t>3</w:t>
        </w:r>
        <w:r>
          <w:rPr>
            <w:noProof/>
            <w:webHidden/>
          </w:rPr>
          <w:fldChar w:fldCharType="end"/>
        </w:r>
      </w:hyperlink>
    </w:p>
    <w:p w14:paraId="4974241C" w14:textId="5F339437" w:rsidR="004D00F2" w:rsidRDefault="004D00F2">
      <w:pPr>
        <w:pStyle w:val="TOC2"/>
        <w:rPr>
          <w:rFonts w:asciiTheme="minorHAnsi" w:eastAsiaTheme="minorEastAsia" w:hAnsiTheme="minorHAnsi"/>
          <w:sz w:val="22"/>
        </w:rPr>
      </w:pPr>
      <w:hyperlink w:anchor="_Toc533096814" w:history="1">
        <w:r w:rsidRPr="00C67F40">
          <w:rPr>
            <w:rStyle w:val="Hyperlink"/>
          </w:rPr>
          <w:t>3.2</w:t>
        </w:r>
        <w:r>
          <w:rPr>
            <w:rFonts w:asciiTheme="minorHAnsi" w:eastAsiaTheme="minorEastAsia" w:hAnsiTheme="minorHAnsi"/>
            <w:sz w:val="22"/>
          </w:rPr>
          <w:tab/>
        </w:r>
        <w:r w:rsidRPr="00C67F40">
          <w:rPr>
            <w:rStyle w:val="Hyperlink"/>
          </w:rPr>
          <w:t>What additional recommendations are critical to achieve predictability?</w:t>
        </w:r>
        <w:r>
          <w:rPr>
            <w:webHidden/>
          </w:rPr>
          <w:tab/>
        </w:r>
        <w:r>
          <w:rPr>
            <w:webHidden/>
          </w:rPr>
          <w:fldChar w:fldCharType="begin"/>
        </w:r>
        <w:r>
          <w:rPr>
            <w:webHidden/>
          </w:rPr>
          <w:instrText xml:space="preserve"> PAGEREF _Toc533096814 \h </w:instrText>
        </w:r>
        <w:r>
          <w:rPr>
            <w:webHidden/>
          </w:rPr>
        </w:r>
        <w:r>
          <w:rPr>
            <w:webHidden/>
          </w:rPr>
          <w:fldChar w:fldCharType="separate"/>
        </w:r>
        <w:r w:rsidR="004010A6">
          <w:rPr>
            <w:webHidden/>
          </w:rPr>
          <w:t>4</w:t>
        </w:r>
        <w:r>
          <w:rPr>
            <w:webHidden/>
          </w:rPr>
          <w:fldChar w:fldCharType="end"/>
        </w:r>
      </w:hyperlink>
    </w:p>
    <w:p w14:paraId="079A30B9" w14:textId="549266FC" w:rsidR="004D00F2" w:rsidRDefault="004D00F2">
      <w:pPr>
        <w:pStyle w:val="TOC3"/>
        <w:tabs>
          <w:tab w:val="left" w:pos="1200"/>
          <w:tab w:val="right" w:leader="dot" w:pos="9350"/>
        </w:tabs>
        <w:rPr>
          <w:rFonts w:asciiTheme="minorHAnsi" w:eastAsiaTheme="minorEastAsia" w:hAnsiTheme="minorHAnsi"/>
          <w:noProof/>
          <w:sz w:val="22"/>
        </w:rPr>
      </w:pPr>
      <w:hyperlink w:anchor="_Toc533096815" w:history="1">
        <w:r w:rsidRPr="00C67F40">
          <w:rPr>
            <w:rStyle w:val="Hyperlink"/>
            <w:noProof/>
          </w:rPr>
          <w:t>3.2.1</w:t>
        </w:r>
        <w:r>
          <w:rPr>
            <w:rFonts w:asciiTheme="minorHAnsi" w:eastAsiaTheme="minorEastAsia" w:hAnsiTheme="minorHAnsi"/>
            <w:noProof/>
            <w:sz w:val="22"/>
          </w:rPr>
          <w:tab/>
        </w:r>
        <w:r w:rsidRPr="00C67F40">
          <w:rPr>
            <w:rStyle w:val="Hyperlink"/>
            <w:noProof/>
          </w:rPr>
          <w:t>Realize Agile Practices with Continual Development and Test</w:t>
        </w:r>
        <w:r>
          <w:rPr>
            <w:noProof/>
            <w:webHidden/>
          </w:rPr>
          <w:tab/>
        </w:r>
        <w:r>
          <w:rPr>
            <w:noProof/>
            <w:webHidden/>
          </w:rPr>
          <w:fldChar w:fldCharType="begin"/>
        </w:r>
        <w:r>
          <w:rPr>
            <w:noProof/>
            <w:webHidden/>
          </w:rPr>
          <w:instrText xml:space="preserve"> PAGEREF _Toc533096815 \h </w:instrText>
        </w:r>
        <w:r>
          <w:rPr>
            <w:noProof/>
            <w:webHidden/>
          </w:rPr>
        </w:r>
        <w:r>
          <w:rPr>
            <w:noProof/>
            <w:webHidden/>
          </w:rPr>
          <w:fldChar w:fldCharType="separate"/>
        </w:r>
        <w:r w:rsidR="004010A6">
          <w:rPr>
            <w:noProof/>
            <w:webHidden/>
          </w:rPr>
          <w:t>4</w:t>
        </w:r>
        <w:r>
          <w:rPr>
            <w:noProof/>
            <w:webHidden/>
          </w:rPr>
          <w:fldChar w:fldCharType="end"/>
        </w:r>
      </w:hyperlink>
    </w:p>
    <w:p w14:paraId="414BE7EC" w14:textId="166022E4" w:rsidR="004D00F2" w:rsidRDefault="004D00F2">
      <w:pPr>
        <w:pStyle w:val="TOC3"/>
        <w:tabs>
          <w:tab w:val="left" w:pos="1200"/>
          <w:tab w:val="right" w:leader="dot" w:pos="9350"/>
        </w:tabs>
        <w:rPr>
          <w:rFonts w:asciiTheme="minorHAnsi" w:eastAsiaTheme="minorEastAsia" w:hAnsiTheme="minorHAnsi"/>
          <w:noProof/>
          <w:sz w:val="22"/>
        </w:rPr>
      </w:pPr>
      <w:hyperlink w:anchor="_Toc533096816" w:history="1">
        <w:r w:rsidRPr="00C67F40">
          <w:rPr>
            <w:rStyle w:val="Hyperlink"/>
            <w:noProof/>
          </w:rPr>
          <w:t>3.2.2</w:t>
        </w:r>
        <w:r>
          <w:rPr>
            <w:rFonts w:asciiTheme="minorHAnsi" w:eastAsiaTheme="minorEastAsia" w:hAnsiTheme="minorHAnsi"/>
            <w:noProof/>
            <w:sz w:val="22"/>
          </w:rPr>
          <w:tab/>
        </w:r>
        <w:r w:rsidRPr="00C67F40">
          <w:rPr>
            <w:rStyle w:val="Hyperlink"/>
            <w:noProof/>
          </w:rPr>
          <w:t>Simplify and Unify Stakeholder Engagement</w:t>
        </w:r>
        <w:r>
          <w:rPr>
            <w:noProof/>
            <w:webHidden/>
          </w:rPr>
          <w:tab/>
        </w:r>
        <w:r>
          <w:rPr>
            <w:noProof/>
            <w:webHidden/>
          </w:rPr>
          <w:fldChar w:fldCharType="begin"/>
        </w:r>
        <w:r>
          <w:rPr>
            <w:noProof/>
            <w:webHidden/>
          </w:rPr>
          <w:instrText xml:space="preserve"> PAGEREF _Toc533096816 \h </w:instrText>
        </w:r>
        <w:r>
          <w:rPr>
            <w:noProof/>
            <w:webHidden/>
          </w:rPr>
        </w:r>
        <w:r>
          <w:rPr>
            <w:noProof/>
            <w:webHidden/>
          </w:rPr>
          <w:fldChar w:fldCharType="separate"/>
        </w:r>
        <w:r w:rsidR="004010A6">
          <w:rPr>
            <w:noProof/>
            <w:webHidden/>
          </w:rPr>
          <w:t>4</w:t>
        </w:r>
        <w:r>
          <w:rPr>
            <w:noProof/>
            <w:webHidden/>
          </w:rPr>
          <w:fldChar w:fldCharType="end"/>
        </w:r>
      </w:hyperlink>
    </w:p>
    <w:p w14:paraId="180D23DA" w14:textId="57ED026A" w:rsidR="004D00F2" w:rsidRDefault="004D00F2">
      <w:pPr>
        <w:pStyle w:val="TOC3"/>
        <w:tabs>
          <w:tab w:val="left" w:pos="1200"/>
          <w:tab w:val="right" w:leader="dot" w:pos="9350"/>
        </w:tabs>
        <w:rPr>
          <w:rFonts w:asciiTheme="minorHAnsi" w:eastAsiaTheme="minorEastAsia" w:hAnsiTheme="minorHAnsi"/>
          <w:noProof/>
          <w:sz w:val="22"/>
        </w:rPr>
      </w:pPr>
      <w:hyperlink w:anchor="_Toc533096817" w:history="1">
        <w:r w:rsidRPr="00C67F40">
          <w:rPr>
            <w:rStyle w:val="Hyperlink"/>
            <w:noProof/>
          </w:rPr>
          <w:t>3.2.3</w:t>
        </w:r>
        <w:r>
          <w:rPr>
            <w:rFonts w:asciiTheme="minorHAnsi" w:eastAsiaTheme="minorEastAsia" w:hAnsiTheme="minorHAnsi"/>
            <w:noProof/>
            <w:sz w:val="22"/>
          </w:rPr>
          <w:tab/>
        </w:r>
        <w:r w:rsidRPr="00C67F40">
          <w:rPr>
            <w:rStyle w:val="Hyperlink"/>
            <w:noProof/>
          </w:rPr>
          <w:t>Define the Philosophical Sweet Spot that Balances Stability with Innovation</w:t>
        </w:r>
        <w:r>
          <w:rPr>
            <w:noProof/>
            <w:webHidden/>
          </w:rPr>
          <w:tab/>
        </w:r>
        <w:r>
          <w:rPr>
            <w:noProof/>
            <w:webHidden/>
          </w:rPr>
          <w:fldChar w:fldCharType="begin"/>
        </w:r>
        <w:r>
          <w:rPr>
            <w:noProof/>
            <w:webHidden/>
          </w:rPr>
          <w:instrText xml:space="preserve"> PAGEREF _Toc533096817 \h </w:instrText>
        </w:r>
        <w:r>
          <w:rPr>
            <w:noProof/>
            <w:webHidden/>
          </w:rPr>
        </w:r>
        <w:r>
          <w:rPr>
            <w:noProof/>
            <w:webHidden/>
          </w:rPr>
          <w:fldChar w:fldCharType="separate"/>
        </w:r>
        <w:r w:rsidR="004010A6">
          <w:rPr>
            <w:noProof/>
            <w:webHidden/>
          </w:rPr>
          <w:t>5</w:t>
        </w:r>
        <w:r>
          <w:rPr>
            <w:noProof/>
            <w:webHidden/>
          </w:rPr>
          <w:fldChar w:fldCharType="end"/>
        </w:r>
      </w:hyperlink>
    </w:p>
    <w:p w14:paraId="4B2510E0" w14:textId="39D7F369" w:rsidR="004D00F2" w:rsidRDefault="004D00F2">
      <w:pPr>
        <w:pStyle w:val="TOC3"/>
        <w:tabs>
          <w:tab w:val="left" w:pos="1200"/>
          <w:tab w:val="right" w:leader="dot" w:pos="9350"/>
        </w:tabs>
        <w:rPr>
          <w:rFonts w:asciiTheme="minorHAnsi" w:eastAsiaTheme="minorEastAsia" w:hAnsiTheme="minorHAnsi"/>
          <w:noProof/>
          <w:sz w:val="22"/>
        </w:rPr>
      </w:pPr>
      <w:hyperlink w:anchor="_Toc533096818" w:history="1">
        <w:r w:rsidRPr="00C67F40">
          <w:rPr>
            <w:rStyle w:val="Hyperlink"/>
            <w:noProof/>
          </w:rPr>
          <w:t>3.2.4</w:t>
        </w:r>
        <w:r>
          <w:rPr>
            <w:rFonts w:asciiTheme="minorHAnsi" w:eastAsiaTheme="minorEastAsia" w:hAnsiTheme="minorHAnsi"/>
            <w:noProof/>
            <w:sz w:val="22"/>
          </w:rPr>
          <w:tab/>
        </w:r>
        <w:r w:rsidRPr="00C67F40">
          <w:rPr>
            <w:rStyle w:val="Hyperlink"/>
            <w:noProof/>
          </w:rPr>
          <w:t>Create a Business Model Founded on Greater Collaboration between SDOs and Regulators</w:t>
        </w:r>
        <w:r>
          <w:rPr>
            <w:noProof/>
            <w:webHidden/>
          </w:rPr>
          <w:tab/>
        </w:r>
        <w:r>
          <w:rPr>
            <w:noProof/>
            <w:webHidden/>
          </w:rPr>
          <w:fldChar w:fldCharType="begin"/>
        </w:r>
        <w:r>
          <w:rPr>
            <w:noProof/>
            <w:webHidden/>
          </w:rPr>
          <w:instrText xml:space="preserve"> PAGEREF _Toc533096818 \h </w:instrText>
        </w:r>
        <w:r>
          <w:rPr>
            <w:noProof/>
            <w:webHidden/>
          </w:rPr>
        </w:r>
        <w:r>
          <w:rPr>
            <w:noProof/>
            <w:webHidden/>
          </w:rPr>
          <w:fldChar w:fldCharType="separate"/>
        </w:r>
        <w:r w:rsidR="004010A6">
          <w:rPr>
            <w:noProof/>
            <w:webHidden/>
          </w:rPr>
          <w:t>6</w:t>
        </w:r>
        <w:r>
          <w:rPr>
            <w:noProof/>
            <w:webHidden/>
          </w:rPr>
          <w:fldChar w:fldCharType="end"/>
        </w:r>
      </w:hyperlink>
    </w:p>
    <w:p w14:paraId="6805416E" w14:textId="5526A991" w:rsidR="004D00F2" w:rsidRDefault="004D00F2">
      <w:pPr>
        <w:pStyle w:val="TOC2"/>
        <w:rPr>
          <w:rFonts w:asciiTheme="minorHAnsi" w:eastAsiaTheme="minorEastAsia" w:hAnsiTheme="minorHAnsi"/>
          <w:sz w:val="22"/>
        </w:rPr>
      </w:pPr>
      <w:hyperlink w:anchor="_Toc533096819" w:history="1">
        <w:r w:rsidRPr="00C67F40">
          <w:rPr>
            <w:rStyle w:val="Hyperlink"/>
          </w:rPr>
          <w:t>3.3</w:t>
        </w:r>
        <w:r>
          <w:rPr>
            <w:rFonts w:asciiTheme="minorHAnsi" w:eastAsiaTheme="minorEastAsia" w:hAnsiTheme="minorHAnsi"/>
            <w:sz w:val="22"/>
          </w:rPr>
          <w:tab/>
        </w:r>
        <w:r w:rsidRPr="00C67F40">
          <w:rPr>
            <w:rStyle w:val="Hyperlink"/>
          </w:rPr>
          <w:t>What is the value proposition of each recommendation and what improvements to the current state do you believe will arise from each recommendation/group of similar recommendations?</w:t>
        </w:r>
        <w:r>
          <w:rPr>
            <w:webHidden/>
          </w:rPr>
          <w:tab/>
        </w:r>
        <w:r>
          <w:rPr>
            <w:webHidden/>
          </w:rPr>
          <w:fldChar w:fldCharType="begin"/>
        </w:r>
        <w:r>
          <w:rPr>
            <w:webHidden/>
          </w:rPr>
          <w:instrText xml:space="preserve"> PAGEREF _Toc533096819 \h </w:instrText>
        </w:r>
        <w:r>
          <w:rPr>
            <w:webHidden/>
          </w:rPr>
        </w:r>
        <w:r>
          <w:rPr>
            <w:webHidden/>
          </w:rPr>
          <w:fldChar w:fldCharType="separate"/>
        </w:r>
        <w:r w:rsidR="004010A6">
          <w:rPr>
            <w:webHidden/>
          </w:rPr>
          <w:t>6</w:t>
        </w:r>
        <w:r>
          <w:rPr>
            <w:webHidden/>
          </w:rPr>
          <w:fldChar w:fldCharType="end"/>
        </w:r>
      </w:hyperlink>
    </w:p>
    <w:p w14:paraId="2CAC13EB" w14:textId="18ADAD43" w:rsidR="004D00F2" w:rsidRDefault="004D00F2">
      <w:pPr>
        <w:pStyle w:val="TOC2"/>
        <w:rPr>
          <w:rFonts w:asciiTheme="minorHAnsi" w:eastAsiaTheme="minorEastAsia" w:hAnsiTheme="minorHAnsi"/>
          <w:sz w:val="22"/>
        </w:rPr>
      </w:pPr>
      <w:hyperlink w:anchor="_Toc533096820" w:history="1">
        <w:r w:rsidRPr="00C67F40">
          <w:rPr>
            <w:rStyle w:val="Hyperlink"/>
          </w:rPr>
          <w:t>3.4</w:t>
        </w:r>
        <w:r>
          <w:rPr>
            <w:rFonts w:asciiTheme="minorHAnsi" w:eastAsiaTheme="minorEastAsia" w:hAnsiTheme="minorHAnsi"/>
            <w:sz w:val="22"/>
          </w:rPr>
          <w:tab/>
        </w:r>
        <w:r w:rsidRPr="00C67F40">
          <w:rPr>
            <w:rStyle w:val="Hyperlink"/>
          </w:rPr>
          <w:t>Are there potential unintended consequences? What are those and how can they be mitigated with modifications to the recommendations?</w:t>
        </w:r>
        <w:r>
          <w:rPr>
            <w:webHidden/>
          </w:rPr>
          <w:tab/>
        </w:r>
        <w:r>
          <w:rPr>
            <w:webHidden/>
          </w:rPr>
          <w:fldChar w:fldCharType="begin"/>
        </w:r>
        <w:r>
          <w:rPr>
            <w:webHidden/>
          </w:rPr>
          <w:instrText xml:space="preserve"> PAGEREF _Toc533096820 \h </w:instrText>
        </w:r>
        <w:r>
          <w:rPr>
            <w:webHidden/>
          </w:rPr>
        </w:r>
        <w:r>
          <w:rPr>
            <w:webHidden/>
          </w:rPr>
          <w:fldChar w:fldCharType="separate"/>
        </w:r>
        <w:r w:rsidR="004010A6">
          <w:rPr>
            <w:webHidden/>
          </w:rPr>
          <w:t>6</w:t>
        </w:r>
        <w:r>
          <w:rPr>
            <w:webHidden/>
          </w:rPr>
          <w:fldChar w:fldCharType="end"/>
        </w:r>
      </w:hyperlink>
    </w:p>
    <w:p w14:paraId="6084FAFB" w14:textId="00250F7F" w:rsidR="004D00F2" w:rsidRDefault="004D00F2">
      <w:pPr>
        <w:pStyle w:val="TOC1"/>
        <w:tabs>
          <w:tab w:val="left" w:pos="480"/>
        </w:tabs>
        <w:rPr>
          <w:rFonts w:eastAsiaTheme="minorEastAsia"/>
          <w:b w:val="0"/>
          <w:noProof/>
          <w:sz w:val="22"/>
        </w:rPr>
      </w:pPr>
      <w:hyperlink w:anchor="_Toc533096821" w:history="1">
        <w:r w:rsidRPr="00C67F40">
          <w:rPr>
            <w:rStyle w:val="Hyperlink"/>
            <w:noProof/>
          </w:rPr>
          <w:t>4</w:t>
        </w:r>
        <w:r>
          <w:rPr>
            <w:rFonts w:eastAsiaTheme="minorEastAsia"/>
            <w:b w:val="0"/>
            <w:noProof/>
            <w:sz w:val="22"/>
          </w:rPr>
          <w:tab/>
        </w:r>
        <w:r w:rsidRPr="00C67F40">
          <w:rPr>
            <w:rStyle w:val="Hyperlink"/>
            <w:noProof/>
          </w:rPr>
          <w:t>Post-Hearing Comments</w:t>
        </w:r>
        <w:r>
          <w:rPr>
            <w:noProof/>
            <w:webHidden/>
          </w:rPr>
          <w:tab/>
        </w:r>
        <w:r>
          <w:rPr>
            <w:noProof/>
            <w:webHidden/>
          </w:rPr>
          <w:fldChar w:fldCharType="begin"/>
        </w:r>
        <w:r>
          <w:rPr>
            <w:noProof/>
            <w:webHidden/>
          </w:rPr>
          <w:instrText xml:space="preserve"> PAGEREF _Toc533096821 \h </w:instrText>
        </w:r>
        <w:r>
          <w:rPr>
            <w:noProof/>
            <w:webHidden/>
          </w:rPr>
        </w:r>
        <w:r>
          <w:rPr>
            <w:noProof/>
            <w:webHidden/>
          </w:rPr>
          <w:fldChar w:fldCharType="separate"/>
        </w:r>
        <w:r w:rsidR="004010A6">
          <w:rPr>
            <w:noProof/>
            <w:webHidden/>
          </w:rPr>
          <w:t>7</w:t>
        </w:r>
        <w:r>
          <w:rPr>
            <w:noProof/>
            <w:webHidden/>
          </w:rPr>
          <w:fldChar w:fldCharType="end"/>
        </w:r>
      </w:hyperlink>
    </w:p>
    <w:p w14:paraId="689D5C80" w14:textId="554E5212" w:rsidR="004D00F2" w:rsidRDefault="004D00F2">
      <w:pPr>
        <w:pStyle w:val="TOC2"/>
        <w:rPr>
          <w:rFonts w:asciiTheme="minorHAnsi" w:eastAsiaTheme="minorEastAsia" w:hAnsiTheme="minorHAnsi"/>
          <w:sz w:val="22"/>
        </w:rPr>
      </w:pPr>
      <w:hyperlink w:anchor="_Toc533096822" w:history="1">
        <w:r w:rsidRPr="00C67F40">
          <w:rPr>
            <w:rStyle w:val="Hyperlink"/>
          </w:rPr>
          <w:t>4.1</w:t>
        </w:r>
        <w:r>
          <w:rPr>
            <w:rFonts w:asciiTheme="minorHAnsi" w:eastAsiaTheme="minorEastAsia" w:hAnsiTheme="minorHAnsi"/>
            <w:sz w:val="22"/>
          </w:rPr>
          <w:tab/>
        </w:r>
        <w:r w:rsidRPr="00C67F40">
          <w:rPr>
            <w:rStyle w:val="Hyperlink"/>
          </w:rPr>
          <w:t>Modeling agile standards development and implementation</w:t>
        </w:r>
        <w:r>
          <w:rPr>
            <w:webHidden/>
          </w:rPr>
          <w:tab/>
        </w:r>
        <w:r>
          <w:rPr>
            <w:webHidden/>
          </w:rPr>
          <w:fldChar w:fldCharType="begin"/>
        </w:r>
        <w:r>
          <w:rPr>
            <w:webHidden/>
          </w:rPr>
          <w:instrText xml:space="preserve"> PAGEREF _Toc533096822 \h </w:instrText>
        </w:r>
        <w:r>
          <w:rPr>
            <w:webHidden/>
          </w:rPr>
        </w:r>
        <w:r>
          <w:rPr>
            <w:webHidden/>
          </w:rPr>
          <w:fldChar w:fldCharType="separate"/>
        </w:r>
        <w:r w:rsidR="004010A6">
          <w:rPr>
            <w:webHidden/>
          </w:rPr>
          <w:t>7</w:t>
        </w:r>
        <w:r>
          <w:rPr>
            <w:webHidden/>
          </w:rPr>
          <w:fldChar w:fldCharType="end"/>
        </w:r>
      </w:hyperlink>
    </w:p>
    <w:p w14:paraId="77F29B39" w14:textId="3A778E91" w:rsidR="004D00F2" w:rsidRDefault="004D00F2">
      <w:pPr>
        <w:pStyle w:val="TOC2"/>
        <w:rPr>
          <w:rFonts w:asciiTheme="minorHAnsi" w:eastAsiaTheme="minorEastAsia" w:hAnsiTheme="minorHAnsi"/>
          <w:sz w:val="22"/>
        </w:rPr>
      </w:pPr>
      <w:hyperlink w:anchor="_Toc533096823" w:history="1">
        <w:r w:rsidRPr="00C67F40">
          <w:rPr>
            <w:rStyle w:val="Hyperlink"/>
          </w:rPr>
          <w:t>4.2</w:t>
        </w:r>
        <w:r>
          <w:rPr>
            <w:rFonts w:asciiTheme="minorHAnsi" w:eastAsiaTheme="minorEastAsia" w:hAnsiTheme="minorHAnsi"/>
            <w:sz w:val="22"/>
          </w:rPr>
          <w:tab/>
        </w:r>
        <w:r w:rsidRPr="00C67F40">
          <w:rPr>
            <w:rStyle w:val="Hyperlink"/>
          </w:rPr>
          <w:t>Integration of administrative and clinical content</w:t>
        </w:r>
        <w:r>
          <w:rPr>
            <w:webHidden/>
          </w:rPr>
          <w:tab/>
        </w:r>
        <w:r>
          <w:rPr>
            <w:webHidden/>
          </w:rPr>
          <w:fldChar w:fldCharType="begin"/>
        </w:r>
        <w:r>
          <w:rPr>
            <w:webHidden/>
          </w:rPr>
          <w:instrText xml:space="preserve"> PAGEREF _Toc533096823 \h </w:instrText>
        </w:r>
        <w:r>
          <w:rPr>
            <w:webHidden/>
          </w:rPr>
        </w:r>
        <w:r>
          <w:rPr>
            <w:webHidden/>
          </w:rPr>
          <w:fldChar w:fldCharType="separate"/>
        </w:r>
        <w:r w:rsidR="004010A6">
          <w:rPr>
            <w:webHidden/>
          </w:rPr>
          <w:t>7</w:t>
        </w:r>
        <w:r>
          <w:rPr>
            <w:webHidden/>
          </w:rPr>
          <w:fldChar w:fldCharType="end"/>
        </w:r>
      </w:hyperlink>
    </w:p>
    <w:p w14:paraId="3139DC29" w14:textId="32E1C3B8" w:rsidR="004D00F2" w:rsidRDefault="004D00F2">
      <w:pPr>
        <w:pStyle w:val="TOC2"/>
        <w:rPr>
          <w:rFonts w:asciiTheme="minorHAnsi" w:eastAsiaTheme="minorEastAsia" w:hAnsiTheme="minorHAnsi"/>
          <w:sz w:val="22"/>
        </w:rPr>
      </w:pPr>
      <w:hyperlink w:anchor="_Toc533096824" w:history="1">
        <w:r w:rsidRPr="00C67F40">
          <w:rPr>
            <w:rStyle w:val="Hyperlink"/>
          </w:rPr>
          <w:t>4.3</w:t>
        </w:r>
        <w:r>
          <w:rPr>
            <w:rFonts w:asciiTheme="minorHAnsi" w:eastAsiaTheme="minorEastAsia" w:hAnsiTheme="minorHAnsi"/>
            <w:sz w:val="22"/>
          </w:rPr>
          <w:tab/>
        </w:r>
        <w:r w:rsidRPr="00C67F40">
          <w:rPr>
            <w:rStyle w:val="Hyperlink"/>
          </w:rPr>
          <w:t>Addressing heterogeneity among stakeholders</w:t>
        </w:r>
        <w:r>
          <w:rPr>
            <w:webHidden/>
          </w:rPr>
          <w:tab/>
        </w:r>
        <w:r>
          <w:rPr>
            <w:webHidden/>
          </w:rPr>
          <w:fldChar w:fldCharType="begin"/>
        </w:r>
        <w:r>
          <w:rPr>
            <w:webHidden/>
          </w:rPr>
          <w:instrText xml:space="preserve"> PAGEREF _Toc533096824 \h </w:instrText>
        </w:r>
        <w:r>
          <w:rPr>
            <w:webHidden/>
          </w:rPr>
        </w:r>
        <w:r>
          <w:rPr>
            <w:webHidden/>
          </w:rPr>
          <w:fldChar w:fldCharType="separate"/>
        </w:r>
        <w:r w:rsidR="004010A6">
          <w:rPr>
            <w:webHidden/>
          </w:rPr>
          <w:t>7</w:t>
        </w:r>
        <w:r>
          <w:rPr>
            <w:webHidden/>
          </w:rPr>
          <w:fldChar w:fldCharType="end"/>
        </w:r>
      </w:hyperlink>
    </w:p>
    <w:p w14:paraId="13BFCD84" w14:textId="12011153" w:rsidR="004D00F2" w:rsidRDefault="004D00F2">
      <w:pPr>
        <w:pStyle w:val="TOC2"/>
        <w:rPr>
          <w:rFonts w:asciiTheme="minorHAnsi" w:eastAsiaTheme="minorEastAsia" w:hAnsiTheme="minorHAnsi"/>
          <w:sz w:val="22"/>
        </w:rPr>
      </w:pPr>
      <w:hyperlink w:anchor="_Toc533096825" w:history="1">
        <w:r w:rsidRPr="00C67F40">
          <w:rPr>
            <w:rStyle w:val="Hyperlink"/>
          </w:rPr>
          <w:t>4.4</w:t>
        </w:r>
        <w:r>
          <w:rPr>
            <w:rFonts w:asciiTheme="minorHAnsi" w:eastAsiaTheme="minorEastAsia" w:hAnsiTheme="minorHAnsi"/>
            <w:sz w:val="22"/>
          </w:rPr>
          <w:tab/>
        </w:r>
        <w:r w:rsidRPr="00C67F40">
          <w:rPr>
            <w:rStyle w:val="Hyperlink"/>
          </w:rPr>
          <w:t>Incomparable comparisons</w:t>
        </w:r>
        <w:r>
          <w:rPr>
            <w:webHidden/>
          </w:rPr>
          <w:tab/>
        </w:r>
        <w:r>
          <w:rPr>
            <w:webHidden/>
          </w:rPr>
          <w:fldChar w:fldCharType="begin"/>
        </w:r>
        <w:r>
          <w:rPr>
            <w:webHidden/>
          </w:rPr>
          <w:instrText xml:space="preserve"> PAGEREF _Toc533096825 \h </w:instrText>
        </w:r>
        <w:r>
          <w:rPr>
            <w:webHidden/>
          </w:rPr>
        </w:r>
        <w:r>
          <w:rPr>
            <w:webHidden/>
          </w:rPr>
          <w:fldChar w:fldCharType="separate"/>
        </w:r>
        <w:r w:rsidR="004010A6">
          <w:rPr>
            <w:webHidden/>
          </w:rPr>
          <w:t>8</w:t>
        </w:r>
        <w:r>
          <w:rPr>
            <w:webHidden/>
          </w:rPr>
          <w:fldChar w:fldCharType="end"/>
        </w:r>
      </w:hyperlink>
    </w:p>
    <w:p w14:paraId="14ECB43F" w14:textId="7B3A8AB5" w:rsidR="0084048D" w:rsidRPr="00AA6E10" w:rsidRDefault="00FD7196" w:rsidP="00FB76D9">
      <w:r w:rsidRPr="00AA6E10">
        <w:fldChar w:fldCharType="end"/>
      </w:r>
    </w:p>
    <w:p w14:paraId="57CB9A92" w14:textId="77777777" w:rsidR="00CA444D" w:rsidRPr="00CA444D" w:rsidRDefault="00CA444D" w:rsidP="009C4923">
      <w:pPr>
        <w:pStyle w:val="TOCHeading"/>
      </w:pPr>
      <w:r w:rsidRPr="00CA444D">
        <w:t>Figures</w:t>
      </w:r>
      <w:bookmarkStart w:id="0" w:name="_GoBack"/>
      <w:bookmarkEnd w:id="0"/>
    </w:p>
    <w:p w14:paraId="696A3123" w14:textId="7984DBC0" w:rsidR="00C8396B" w:rsidRDefault="00117912">
      <w:pPr>
        <w:pStyle w:val="TableofFigures"/>
        <w:tabs>
          <w:tab w:val="right" w:leader="dot" w:pos="9350"/>
        </w:tabs>
        <w:rPr>
          <w:rFonts w:asciiTheme="minorHAnsi" w:eastAsiaTheme="minorEastAsia" w:hAnsiTheme="minorHAnsi"/>
          <w:noProof/>
          <w:sz w:val="22"/>
        </w:rPr>
      </w:pPr>
      <w:r>
        <w:rPr>
          <w:b/>
          <w:bCs/>
          <w:noProof/>
        </w:rPr>
        <w:fldChar w:fldCharType="begin"/>
      </w:r>
      <w:r>
        <w:rPr>
          <w:b/>
          <w:bCs/>
          <w:noProof/>
        </w:rPr>
        <w:instrText xml:space="preserve"> TOC \c "Figure" </w:instrText>
      </w:r>
      <w:r>
        <w:rPr>
          <w:b/>
          <w:bCs/>
          <w:noProof/>
        </w:rPr>
        <w:fldChar w:fldCharType="separate"/>
      </w:r>
      <w:r w:rsidR="00C8396B">
        <w:rPr>
          <w:noProof/>
        </w:rPr>
        <w:t>Figure 1: SDO and Regulatory Process Waterfall Diagrams</w:t>
      </w:r>
      <w:r w:rsidR="00C8396B">
        <w:rPr>
          <w:noProof/>
        </w:rPr>
        <w:tab/>
      </w:r>
      <w:r w:rsidR="00C8396B">
        <w:rPr>
          <w:noProof/>
        </w:rPr>
        <w:fldChar w:fldCharType="begin"/>
      </w:r>
      <w:r w:rsidR="00C8396B">
        <w:rPr>
          <w:noProof/>
        </w:rPr>
        <w:instrText xml:space="preserve"> PAGEREF _Toc531874190 \h </w:instrText>
      </w:r>
      <w:r w:rsidR="00C8396B">
        <w:rPr>
          <w:noProof/>
        </w:rPr>
      </w:r>
      <w:r w:rsidR="00C8396B">
        <w:rPr>
          <w:noProof/>
        </w:rPr>
        <w:fldChar w:fldCharType="separate"/>
      </w:r>
      <w:r w:rsidR="004010A6">
        <w:rPr>
          <w:noProof/>
        </w:rPr>
        <w:t>4</w:t>
      </w:r>
      <w:r w:rsidR="00C8396B">
        <w:rPr>
          <w:noProof/>
        </w:rPr>
        <w:fldChar w:fldCharType="end"/>
      </w:r>
    </w:p>
    <w:p w14:paraId="29EBFD9C" w14:textId="0D538C27" w:rsidR="00C8396B" w:rsidRDefault="00C8396B">
      <w:pPr>
        <w:pStyle w:val="TableofFigures"/>
        <w:tabs>
          <w:tab w:val="right" w:leader="dot" w:pos="9350"/>
        </w:tabs>
        <w:rPr>
          <w:rFonts w:asciiTheme="minorHAnsi" w:eastAsiaTheme="minorEastAsia" w:hAnsiTheme="minorHAnsi"/>
          <w:noProof/>
          <w:sz w:val="22"/>
        </w:rPr>
      </w:pPr>
      <w:r>
        <w:rPr>
          <w:noProof/>
        </w:rPr>
        <w:t>Figure 2:  Stakeholder Engagement in Standards Rulemaking, Current State</w:t>
      </w:r>
      <w:r>
        <w:rPr>
          <w:noProof/>
        </w:rPr>
        <w:tab/>
      </w:r>
      <w:r>
        <w:rPr>
          <w:noProof/>
        </w:rPr>
        <w:fldChar w:fldCharType="begin"/>
      </w:r>
      <w:r>
        <w:rPr>
          <w:noProof/>
        </w:rPr>
        <w:instrText xml:space="preserve"> PAGEREF _Toc531874191 \h </w:instrText>
      </w:r>
      <w:r>
        <w:rPr>
          <w:noProof/>
        </w:rPr>
      </w:r>
      <w:r>
        <w:rPr>
          <w:noProof/>
        </w:rPr>
        <w:fldChar w:fldCharType="separate"/>
      </w:r>
      <w:r w:rsidR="004010A6">
        <w:rPr>
          <w:noProof/>
        </w:rPr>
        <w:t>5</w:t>
      </w:r>
      <w:r>
        <w:rPr>
          <w:noProof/>
        </w:rPr>
        <w:fldChar w:fldCharType="end"/>
      </w:r>
    </w:p>
    <w:p w14:paraId="38F5AA08" w14:textId="01EFD926" w:rsidR="00CA444D" w:rsidRPr="00AA6E10" w:rsidRDefault="00117912" w:rsidP="00FB76D9">
      <w:r>
        <w:rPr>
          <w:b/>
          <w:bCs/>
          <w:noProof/>
        </w:rPr>
        <w:fldChar w:fldCharType="end"/>
      </w:r>
    </w:p>
    <w:p w14:paraId="71C6AEB0" w14:textId="5D8AC519" w:rsidR="00650DD1" w:rsidRPr="00AA6E10" w:rsidRDefault="00650DD1" w:rsidP="00FB76D9"/>
    <w:p w14:paraId="6E287C49" w14:textId="77777777" w:rsidR="00650DD1" w:rsidRPr="00AA6E10" w:rsidRDefault="00650DD1" w:rsidP="00FB76D9"/>
    <w:p w14:paraId="6DCC9A95" w14:textId="77777777" w:rsidR="00552C50" w:rsidRPr="00AA6E10" w:rsidRDefault="00552C50" w:rsidP="00FB76D9">
      <w:pPr>
        <w:sectPr w:rsidR="00552C50" w:rsidRPr="00AA6E10" w:rsidSect="00650DD1">
          <w:headerReference w:type="default" r:id="rId14"/>
          <w:footerReference w:type="default" r:id="rId15"/>
          <w:headerReference w:type="first" r:id="rId16"/>
          <w:footerReference w:type="first" r:id="rId17"/>
          <w:pgSz w:w="12240" w:h="15840" w:code="1"/>
          <w:pgMar w:top="1440" w:right="1440" w:bottom="1440" w:left="1440" w:header="576" w:footer="576" w:gutter="0"/>
          <w:pgNumType w:fmt="lowerRoman"/>
          <w:cols w:space="720"/>
          <w:titlePg/>
          <w:docGrid w:linePitch="360"/>
        </w:sectPr>
      </w:pPr>
    </w:p>
    <w:p w14:paraId="7AE9A64B" w14:textId="35F31024" w:rsidR="000E748A" w:rsidRPr="009C4923" w:rsidRDefault="004200F4" w:rsidP="009C4923">
      <w:pPr>
        <w:pStyle w:val="Heading2"/>
      </w:pPr>
      <w:bookmarkStart w:id="1" w:name="_Toc533096807"/>
      <w:r w:rsidRPr="009C4923">
        <w:lastRenderedPageBreak/>
        <w:t>Our</w:t>
      </w:r>
      <w:r w:rsidR="000E748A" w:rsidRPr="009C4923">
        <w:t xml:space="preserve"> Vantage Point on Standards &amp; Adoption</w:t>
      </w:r>
      <w:bookmarkEnd w:id="1"/>
    </w:p>
    <w:p w14:paraId="46D57298" w14:textId="72F54E51" w:rsidR="00E02989" w:rsidRDefault="00E02989" w:rsidP="000E748A">
      <w:r>
        <w:t xml:space="preserve">We would like to thank the NCVHS Subcommittee on Standards for the work they have done to improve and accelerate the development, adoption, and implementation of standards and operating rules and for the opportunity to comment on their work here. To provide perspective on our comments, we start with a brief summary of our work in this area. </w:t>
      </w:r>
    </w:p>
    <w:p w14:paraId="4113A5C3" w14:textId="0109801E" w:rsidR="00E02989" w:rsidRDefault="00E02989" w:rsidP="000E748A">
      <w:r>
        <w:t>Lantana’s principals have led or supported several standards in use today, starting with the Clinical Document Architecture (CDA), the Continuity of Care Document (CCD), the Health Story Project, and the Consolidated CDA (C-CDA)</w:t>
      </w:r>
      <w:r w:rsidR="00CD755A">
        <w:t>,</w:t>
      </w:r>
      <w:r>
        <w:t xml:space="preserve"> which was built on </w:t>
      </w:r>
      <w:r w:rsidR="00E77176">
        <w:t>the Health Story</w:t>
      </w:r>
      <w:r w:rsidR="00E77176">
        <w:rPr>
          <w:vanish/>
        </w:rPr>
        <w:t>Health</w:t>
      </w:r>
      <w:r w:rsidR="00E77176">
        <w:t xml:space="preserve"> </w:t>
      </w:r>
      <w:r>
        <w:t>work</w:t>
      </w:r>
      <w:r w:rsidR="00BA6959">
        <w:t>, and Quality Reporting Document Architecture (QRDA)</w:t>
      </w:r>
      <w:r>
        <w:t xml:space="preserve">. </w:t>
      </w:r>
      <w:r w:rsidR="00393857">
        <w:t>Most recently, we led the development of the CDA-on-FHIR specification</w:t>
      </w:r>
      <w:r w:rsidR="00E77176">
        <w:t>,</w:t>
      </w:r>
      <w:r w:rsidR="00393857">
        <w:t xml:space="preserve"> which is a critical path component for the transition from CDA to FHIR. </w:t>
      </w:r>
      <w:r w:rsidR="003118DC">
        <w:t xml:space="preserve">Our Chief Innovation Officer, Rick Geimer, was elected recently to </w:t>
      </w:r>
      <w:r w:rsidR="00E234AC">
        <w:t xml:space="preserve">the </w:t>
      </w:r>
      <w:r w:rsidR="008A2619">
        <w:t xml:space="preserve">HL7 </w:t>
      </w:r>
      <w:r w:rsidR="003118DC">
        <w:t>FHIR</w:t>
      </w:r>
      <w:r w:rsidR="00E234AC">
        <w:t xml:space="preserve"> </w:t>
      </w:r>
      <w:r w:rsidR="003118DC">
        <w:t>Infrastructure</w:t>
      </w:r>
      <w:r w:rsidR="00E234AC">
        <w:t xml:space="preserve"> Work Group</w:t>
      </w:r>
      <w:r w:rsidR="003118DC">
        <w:t xml:space="preserve"> and we hold Work Group Co-Chair positions on Clinical Quality Improvement and Structured Documents. </w:t>
      </w:r>
    </w:p>
    <w:p w14:paraId="588FBB4F" w14:textId="3708D723" w:rsidR="009B260B" w:rsidRDefault="009B260B" w:rsidP="000E748A">
      <w:r>
        <w:t>We have represented stakeholder interests in the design, development, ballot, and subsequent publication of standard</w:t>
      </w:r>
      <w:r w:rsidR="00491503">
        <w:t>s</w:t>
      </w:r>
      <w:r>
        <w:t xml:space="preserve"> for the Office of the National Coordinator</w:t>
      </w:r>
      <w:r w:rsidR="00491503">
        <w:t xml:space="preserve"> for Health I</w:t>
      </w:r>
      <w:r w:rsidR="00896DC5">
        <w:t>nformation Technology</w:t>
      </w:r>
      <w:r>
        <w:t xml:space="preserve">, the Centers for Medicare </w:t>
      </w:r>
      <w:r w:rsidR="00896DC5">
        <w:t>&amp;</w:t>
      </w:r>
      <w:r>
        <w:t xml:space="preserve"> Medicaid Services, the National Quality Forum, the Centers for Disease Control and Prevention, </w:t>
      </w:r>
      <w:r w:rsidR="00C00BD9">
        <w:t xml:space="preserve">the National Institute </w:t>
      </w:r>
      <w:r w:rsidR="00BC0A90">
        <w:t>of</w:t>
      </w:r>
      <w:r w:rsidR="00C00BD9">
        <w:t xml:space="preserve"> Standards and Technology</w:t>
      </w:r>
      <w:r w:rsidR="00CF3AE2">
        <w:t>,</w:t>
      </w:r>
      <w:r w:rsidR="00C00BD9">
        <w:t xml:space="preserve"> </w:t>
      </w:r>
      <w:r>
        <w:t xml:space="preserve">and numerous professional societies including the American Society </w:t>
      </w:r>
      <w:r w:rsidR="00DC0AEC">
        <w:t xml:space="preserve">of Clinical Oncology, the </w:t>
      </w:r>
      <w:r w:rsidR="004A4B1A">
        <w:t xml:space="preserve">Alliance for Pediatric Quality, the </w:t>
      </w:r>
      <w:r w:rsidR="00DC0AEC">
        <w:t xml:space="preserve">Academy of Nutrition and Dietetics, and </w:t>
      </w:r>
      <w:r w:rsidR="00EE35A7">
        <w:t xml:space="preserve">the Pharmacy Health Information Technology Collaborative </w:t>
      </w:r>
      <w:r w:rsidR="009E6CC4">
        <w:t xml:space="preserve">as well as for </w:t>
      </w:r>
      <w:r w:rsidR="00EE35A7">
        <w:t xml:space="preserve">private clients. We have collaborated </w:t>
      </w:r>
      <w:r w:rsidR="006D386D">
        <w:t xml:space="preserve">on tooling and standards development </w:t>
      </w:r>
      <w:r w:rsidR="00EE35A7">
        <w:t xml:space="preserve">with industry consortia including </w:t>
      </w:r>
      <w:r w:rsidR="0094047C" w:rsidRPr="0094047C">
        <w:t>Integrating the Healthcare Enterprise (IHE) International</w:t>
      </w:r>
      <w:r w:rsidR="00EE35A7">
        <w:t xml:space="preserve">, the </w:t>
      </w:r>
      <w:r w:rsidR="0022156E">
        <w:t xml:space="preserve">HIMSS </w:t>
      </w:r>
      <w:r w:rsidR="00EE35A7">
        <w:t>EHRA, the Da</w:t>
      </w:r>
      <w:r w:rsidR="0091344E">
        <w:t xml:space="preserve"> </w:t>
      </w:r>
      <w:r w:rsidR="00EE35A7">
        <w:t>Vinc</w:t>
      </w:r>
      <w:r w:rsidR="0091344E">
        <w:t>i</w:t>
      </w:r>
      <w:r w:rsidR="00EE35A7">
        <w:t xml:space="preserve"> Project, the Sequoia Project, </w:t>
      </w:r>
      <w:r w:rsidR="004207A7">
        <w:t xml:space="preserve">the </w:t>
      </w:r>
      <w:r w:rsidR="00950AE0">
        <w:t>Clinical Data Interchange Standards Consortium (</w:t>
      </w:r>
      <w:r w:rsidR="00EE35A7">
        <w:t>CDISC</w:t>
      </w:r>
      <w:r w:rsidR="00950AE0">
        <w:t>)</w:t>
      </w:r>
      <w:r w:rsidR="00EE35A7">
        <w:t xml:space="preserve">, </w:t>
      </w:r>
      <w:r w:rsidR="00F970A4">
        <w:t>the</w:t>
      </w:r>
      <w:r w:rsidR="005957DF">
        <w:t xml:space="preserve"> Council for Affordable Quality Healthcare</w:t>
      </w:r>
      <w:r w:rsidR="00950AE0">
        <w:t xml:space="preserve"> </w:t>
      </w:r>
      <w:r w:rsidR="005957DF">
        <w:t>(</w:t>
      </w:r>
      <w:proofErr w:type="gramStart"/>
      <w:r w:rsidR="00950AE0">
        <w:t>CAQH</w:t>
      </w:r>
      <w:r w:rsidR="005957DF">
        <w:t>)</w:t>
      </w:r>
      <w:r w:rsidR="00950AE0">
        <w:t xml:space="preserve"> </w:t>
      </w:r>
      <w:r w:rsidR="00F970A4">
        <w:t xml:space="preserve"> </w:t>
      </w:r>
      <w:r w:rsidR="00F970A4" w:rsidRPr="00F970A4">
        <w:t>Committee</w:t>
      </w:r>
      <w:proofErr w:type="gramEnd"/>
      <w:r w:rsidR="00F970A4" w:rsidRPr="00F970A4">
        <w:t xml:space="preserve"> on Operating Rules for Information Exchange</w:t>
      </w:r>
      <w:r w:rsidR="00F970A4">
        <w:t xml:space="preserve"> (</w:t>
      </w:r>
      <w:r w:rsidR="00F970A4" w:rsidRPr="00F970A4">
        <w:t>CORE</w:t>
      </w:r>
      <w:r w:rsidR="00F970A4">
        <w:t>)</w:t>
      </w:r>
      <w:r w:rsidR="00BC0A90">
        <w:t xml:space="preserve">, </w:t>
      </w:r>
      <w:r w:rsidR="001A45E8">
        <w:t xml:space="preserve">and </w:t>
      </w:r>
      <w:r w:rsidR="00BC0A90">
        <w:t>the Continua Alliance</w:t>
      </w:r>
      <w:r w:rsidR="001A45E8">
        <w:t xml:space="preserve">. </w:t>
      </w:r>
    </w:p>
    <w:p w14:paraId="3205FC9B" w14:textId="6932259E" w:rsidR="000020CD" w:rsidRDefault="0033627D" w:rsidP="000E748A">
      <w:r>
        <w:t xml:space="preserve">Our track </w:t>
      </w:r>
      <w:r w:rsidR="000020CD">
        <w:t xml:space="preserve">record on </w:t>
      </w:r>
      <w:r>
        <w:t xml:space="preserve">moving industry </w:t>
      </w:r>
      <w:r w:rsidR="000020CD">
        <w:t xml:space="preserve">requirements </w:t>
      </w:r>
      <w:r>
        <w:t xml:space="preserve">through to </w:t>
      </w:r>
      <w:r w:rsidR="000020CD">
        <w:t>publication</w:t>
      </w:r>
      <w:r>
        <w:t xml:space="preserve"> </w:t>
      </w:r>
      <w:r w:rsidR="004207A7">
        <w:t xml:space="preserve">with a standards development organization (SDO) </w:t>
      </w:r>
      <w:r>
        <w:t>on a predictable timeline is strong</w:t>
      </w:r>
      <w:r w:rsidR="00502EC3">
        <w:t xml:space="preserve"> and is based on our experience with and commitment to the consensus process. We have a first ballot success rate that is near 100% when excluding major, de novo efforts, such as CDA itself or C-CD</w:t>
      </w:r>
      <w:r w:rsidR="001E0592">
        <w:t>A</w:t>
      </w:r>
      <w:r w:rsidR="00502EC3">
        <w:t xml:space="preserve">. </w:t>
      </w:r>
    </w:p>
    <w:p w14:paraId="61BF1ACB" w14:textId="30E41624" w:rsidR="003C0E47" w:rsidRPr="000E748A" w:rsidRDefault="001E0592" w:rsidP="000E748A">
      <w:r>
        <w:t xml:space="preserve">While best known in SDO circles for our support of standards development, we bring to this work the </w:t>
      </w:r>
      <w:r w:rsidR="00C15B99">
        <w:t>perspective</w:t>
      </w:r>
      <w:r>
        <w:t xml:space="preserve"> of implementers through our support for </w:t>
      </w:r>
      <w:r w:rsidR="00073AC9">
        <w:t>vendors and providers</w:t>
      </w:r>
      <w:r>
        <w:t xml:space="preserve"> </w:t>
      </w:r>
      <w:r w:rsidR="00073AC9">
        <w:t>working with</w:t>
      </w:r>
      <w:r>
        <w:t xml:space="preserve"> these specifications and our support for the</w:t>
      </w:r>
      <w:r w:rsidR="003C0E47">
        <w:t xml:space="preserve"> rollout </w:t>
      </w:r>
      <w:r>
        <w:t xml:space="preserve">of </w:t>
      </w:r>
      <w:r w:rsidR="003C0E47">
        <w:t xml:space="preserve">programs </w:t>
      </w:r>
      <w:r>
        <w:t>from CMS and the CDC</w:t>
      </w:r>
      <w:r w:rsidR="00271FAE">
        <w:t>.</w:t>
      </w:r>
      <w:r w:rsidR="009707AE">
        <w:rPr>
          <w:rStyle w:val="FootnoteReference"/>
        </w:rPr>
        <w:footnoteReference w:id="2"/>
      </w:r>
      <w:r w:rsidR="003C0E47">
        <w:t xml:space="preserve"> </w:t>
      </w:r>
    </w:p>
    <w:p w14:paraId="5D53328C" w14:textId="114CB63D" w:rsidR="0083692B" w:rsidRDefault="007B7EA3" w:rsidP="009C4923">
      <w:pPr>
        <w:pStyle w:val="Heading2"/>
      </w:pPr>
      <w:bookmarkStart w:id="2" w:name="_Toc533096808"/>
      <w:r>
        <w:lastRenderedPageBreak/>
        <w:t xml:space="preserve">General </w:t>
      </w:r>
      <w:r w:rsidR="00427594">
        <w:t>Comments</w:t>
      </w:r>
      <w:bookmarkEnd w:id="2"/>
    </w:p>
    <w:p w14:paraId="1064B3F6" w14:textId="77777777" w:rsidR="00D44C9F" w:rsidRDefault="000F2170" w:rsidP="006368F9">
      <w:pPr>
        <w:spacing w:after="0"/>
        <w:ind w:left="360"/>
      </w:pPr>
      <w:r>
        <w:t>“</w:t>
      </w:r>
      <w:r w:rsidR="005231E9" w:rsidRPr="000F2170">
        <w:rPr>
          <w:b/>
        </w:rPr>
        <w:t>Predictability is an asset in health care operations</w:t>
      </w:r>
      <w:r w:rsidR="005231E9" w:rsidRPr="005231E9">
        <w:t xml:space="preserve"> because it enables more effective planning for the</w:t>
      </w:r>
      <w:r>
        <w:t xml:space="preserve"> </w:t>
      </w:r>
      <w:r w:rsidR="005231E9" w:rsidRPr="005231E9">
        <w:t>necessary transitions in workflows, business process changes and system updates. Organizations need sufficient time and information to make the right calculations for scope and resources.</w:t>
      </w:r>
      <w:r>
        <w:t xml:space="preserve">” </w:t>
      </w:r>
    </w:p>
    <w:p w14:paraId="366D2C5D" w14:textId="02589B85" w:rsidR="00427594" w:rsidRPr="00AC2F98" w:rsidRDefault="00D44C9F" w:rsidP="006368F9">
      <w:pPr>
        <w:ind w:left="360"/>
        <w:jc w:val="right"/>
        <w:rPr>
          <w:i/>
        </w:rPr>
      </w:pPr>
      <w:r>
        <w:rPr>
          <w:i/>
        </w:rPr>
        <w:t>—</w:t>
      </w:r>
      <w:r w:rsidR="00AC2F98" w:rsidRPr="006368F9">
        <w:t xml:space="preserve">From the </w:t>
      </w:r>
      <w:r w:rsidR="000F48D9" w:rsidRPr="006368F9">
        <w:t>subcommittee report, “</w:t>
      </w:r>
      <w:r w:rsidR="000F48D9" w:rsidRPr="005C726E">
        <w:t>Improv</w:t>
      </w:r>
      <w:r w:rsidR="000F48D9">
        <w:t>ing Health Care System Efficiency by Accelerating the Update, Adoption, and Use of Administrative Standards and Operating Rules”, p</w:t>
      </w:r>
      <w:r w:rsidR="00F0622A">
        <w:t>p. 5-6</w:t>
      </w:r>
    </w:p>
    <w:p w14:paraId="5BC71EC4" w14:textId="03080C9C" w:rsidR="00FB76D9" w:rsidRDefault="00BE3989" w:rsidP="00C34B24">
      <w:bookmarkStart w:id="3" w:name="_References"/>
      <w:bookmarkEnd w:id="3"/>
      <w:r>
        <w:t xml:space="preserve">Lantana strongly supports the move to increase predictability </w:t>
      </w:r>
      <w:r w:rsidR="00A61196">
        <w:t xml:space="preserve">throughout the standards development, review, adoption, and implementation lifecycle. </w:t>
      </w:r>
      <w:r w:rsidR="00EB34E7">
        <w:t xml:space="preserve">Knowing what is feasible and </w:t>
      </w:r>
      <w:r w:rsidR="006522A8">
        <w:t xml:space="preserve">what is </w:t>
      </w:r>
      <w:r w:rsidR="00EB34E7">
        <w:t xml:space="preserve">expected </w:t>
      </w:r>
      <w:r w:rsidR="006522A8">
        <w:t xml:space="preserve">are both </w:t>
      </w:r>
      <w:r w:rsidR="00EB34E7">
        <w:t xml:space="preserve">required to drive </w:t>
      </w:r>
      <w:r w:rsidR="00D05E24">
        <w:t xml:space="preserve">improvements to </w:t>
      </w:r>
      <w:r w:rsidR="00EB34E7">
        <w:t xml:space="preserve">system architecture, design, and execution. </w:t>
      </w:r>
      <w:r w:rsidR="003636B1">
        <w:t xml:space="preserve">In this section we provide a small number of general observations on the questions raised by the </w:t>
      </w:r>
      <w:r w:rsidR="0022156E">
        <w:t>subcommittee</w:t>
      </w:r>
      <w:r w:rsidR="003636B1">
        <w:t xml:space="preserve"> and in the following section we apply these observations and others to the </w:t>
      </w:r>
      <w:r w:rsidR="002871FC">
        <w:t xml:space="preserve">recommendations and </w:t>
      </w:r>
      <w:r w:rsidR="003636B1">
        <w:t xml:space="preserve">questions raised by NCVHS. </w:t>
      </w:r>
    </w:p>
    <w:p w14:paraId="1DB385DD" w14:textId="68ECEB3F" w:rsidR="00283EBC" w:rsidRDefault="001628EF" w:rsidP="00C34B24">
      <w:r>
        <w:t>We respect and concur with the findings from the 2017/2018 hearings that engaged standards and business leaders</w:t>
      </w:r>
      <w:r w:rsidR="00F40E06">
        <w:t>, particularly</w:t>
      </w:r>
      <w:r w:rsidR="007F0682">
        <w:t xml:space="preserve"> the imperatives to</w:t>
      </w:r>
      <w:r w:rsidR="00283EBC">
        <w:t>:</w:t>
      </w:r>
    </w:p>
    <w:p w14:paraId="189A30B4" w14:textId="37887FC1" w:rsidR="00283EBC" w:rsidRDefault="00F77CD0" w:rsidP="00C34B24">
      <w:pPr>
        <w:pStyle w:val="ListParagraph"/>
        <w:numPr>
          <w:ilvl w:val="0"/>
          <w:numId w:val="22"/>
        </w:numPr>
      </w:pPr>
      <w:r>
        <w:t xml:space="preserve">Avoid </w:t>
      </w:r>
      <w:r w:rsidR="00F40E06">
        <w:t>“technical debt” and “throw away work”</w:t>
      </w:r>
    </w:p>
    <w:p w14:paraId="52ECDED4" w14:textId="3086BEDF" w:rsidR="00283EBC" w:rsidRDefault="00F77CD0" w:rsidP="00C34B24">
      <w:pPr>
        <w:pStyle w:val="ListParagraph"/>
        <w:numPr>
          <w:ilvl w:val="0"/>
          <w:numId w:val="22"/>
        </w:numPr>
      </w:pPr>
      <w:r>
        <w:t xml:space="preserve">Align </w:t>
      </w:r>
      <w:r w:rsidR="00B478E5">
        <w:t>rulemaking with business, technology, and standards</w:t>
      </w:r>
    </w:p>
    <w:p w14:paraId="383B9148" w14:textId="2ED4E27D" w:rsidR="00283EBC" w:rsidRDefault="00F77CD0" w:rsidP="00C34B24">
      <w:pPr>
        <w:pStyle w:val="ListParagraph"/>
        <w:numPr>
          <w:ilvl w:val="0"/>
          <w:numId w:val="22"/>
        </w:numPr>
      </w:pPr>
      <w:r>
        <w:t xml:space="preserve">Diversify </w:t>
      </w:r>
      <w:r w:rsidR="00B478E5">
        <w:t>stakeholder engagement in the process</w:t>
      </w:r>
    </w:p>
    <w:p w14:paraId="45121534" w14:textId="33A73C2E" w:rsidR="00283EBC" w:rsidRDefault="00F77CD0" w:rsidP="00C34B24">
      <w:pPr>
        <w:pStyle w:val="ListParagraph"/>
        <w:numPr>
          <w:ilvl w:val="0"/>
          <w:numId w:val="22"/>
        </w:numPr>
      </w:pPr>
      <w:r>
        <w:t xml:space="preserve">Ensure </w:t>
      </w:r>
      <w:r w:rsidR="00A77709">
        <w:t>a sound financial model for standards development</w:t>
      </w:r>
    </w:p>
    <w:p w14:paraId="440F8D72" w14:textId="01F57337" w:rsidR="00283EBC" w:rsidRDefault="00F77CD0" w:rsidP="00C34B24">
      <w:pPr>
        <w:pStyle w:val="ListParagraph"/>
        <w:numPr>
          <w:ilvl w:val="0"/>
          <w:numId w:val="22"/>
        </w:numPr>
      </w:pPr>
      <w:r>
        <w:t>Be</w:t>
      </w:r>
      <w:r w:rsidR="006114FF">
        <w:t xml:space="preserve"> agile and iterative in the process</w:t>
      </w:r>
    </w:p>
    <w:p w14:paraId="07377AD6" w14:textId="41090AD0" w:rsidR="00283EBC" w:rsidRDefault="00F77CD0" w:rsidP="00C34B24">
      <w:pPr>
        <w:pStyle w:val="ListParagraph"/>
        <w:numPr>
          <w:ilvl w:val="0"/>
          <w:numId w:val="22"/>
        </w:numPr>
      </w:pPr>
      <w:r>
        <w:t xml:space="preserve">Align </w:t>
      </w:r>
      <w:r w:rsidR="00B52F3E">
        <w:t>administrative and clinical standards and processes</w:t>
      </w:r>
    </w:p>
    <w:p w14:paraId="6C3A2405" w14:textId="35784A69" w:rsidR="001628EF" w:rsidRDefault="00F77CD0" w:rsidP="00C34B24">
      <w:pPr>
        <w:pStyle w:val="ListParagraph"/>
        <w:numPr>
          <w:ilvl w:val="0"/>
          <w:numId w:val="22"/>
        </w:numPr>
      </w:pPr>
      <w:r>
        <w:t xml:space="preserve">Integrate </w:t>
      </w:r>
      <w:r w:rsidR="006114FF">
        <w:t>empirical testing with cost/benefit analyses throughout the process</w:t>
      </w:r>
    </w:p>
    <w:p w14:paraId="4CCF038B" w14:textId="62CB6852" w:rsidR="003636B1" w:rsidRDefault="00B3032B" w:rsidP="00C34B24">
      <w:r>
        <w:t xml:space="preserve">Changes </w:t>
      </w:r>
      <w:r w:rsidR="00E73110">
        <w:t xml:space="preserve">that streamline, simplify, and unify </w:t>
      </w:r>
      <w:r>
        <w:t xml:space="preserve">SDO </w:t>
      </w:r>
      <w:r w:rsidR="00023AD4">
        <w:t xml:space="preserve">and regulatory </w:t>
      </w:r>
      <w:r>
        <w:t>process</w:t>
      </w:r>
      <w:r w:rsidR="00023AD4">
        <w:t>es</w:t>
      </w:r>
      <w:r>
        <w:t xml:space="preserve"> and oversight can </w:t>
      </w:r>
      <w:r w:rsidR="00E73110">
        <w:t xml:space="preserve">pave the way to a predictable </w:t>
      </w:r>
      <w:r w:rsidR="00BE1ED8">
        <w:t>national health information technology</w:t>
      </w:r>
      <w:r w:rsidR="00BE1ED8" w:rsidRPr="00BE1ED8">
        <w:t xml:space="preserve"> </w:t>
      </w:r>
      <w:r w:rsidR="00BE1ED8">
        <w:t xml:space="preserve">roadmap. </w:t>
      </w:r>
    </w:p>
    <w:p w14:paraId="17119AFD" w14:textId="01697E5E" w:rsidR="00427594" w:rsidRDefault="00427594" w:rsidP="009C4923">
      <w:pPr>
        <w:pStyle w:val="Heading2"/>
      </w:pPr>
      <w:bookmarkStart w:id="4" w:name="_Toc533096809"/>
      <w:r>
        <w:t>Response to Questions</w:t>
      </w:r>
      <w:bookmarkEnd w:id="4"/>
    </w:p>
    <w:p w14:paraId="47219E3C" w14:textId="306E0B40" w:rsidR="00427594" w:rsidRDefault="00060506" w:rsidP="00C34B24">
      <w:r>
        <w:t xml:space="preserve">In this section we </w:t>
      </w:r>
      <w:r w:rsidR="0070393F">
        <w:t>dig deeper into</w:t>
      </w:r>
      <w:r>
        <w:t xml:space="preserve"> our general observations in response to NCVHS questions. </w:t>
      </w:r>
    </w:p>
    <w:p w14:paraId="3F7A25C9" w14:textId="189FCC45" w:rsidR="003A20BE" w:rsidRDefault="003A20BE" w:rsidP="00C34B24">
      <w:pPr>
        <w:pStyle w:val="Heading3"/>
      </w:pPr>
      <w:bookmarkStart w:id="5" w:name="_Toc533096810"/>
      <w:r w:rsidRPr="003A20BE">
        <w:t>Would these recommendations as a whole improve the predictability of the adoption of administrative standards and operating rules?</w:t>
      </w:r>
      <w:bookmarkEnd w:id="5"/>
    </w:p>
    <w:p w14:paraId="7F70A654" w14:textId="1FA9E82B" w:rsidR="004701E9" w:rsidRDefault="004701E9" w:rsidP="00C34B24">
      <w:pPr>
        <w:pStyle w:val="Heading4"/>
      </w:pPr>
      <w:bookmarkStart w:id="6" w:name="_Toc533096811"/>
      <w:r>
        <w:t>Education &amp; Outreach</w:t>
      </w:r>
      <w:bookmarkEnd w:id="6"/>
    </w:p>
    <w:p w14:paraId="155185AB" w14:textId="08B25A97" w:rsidR="00E51160" w:rsidRDefault="00420E55" w:rsidP="00C34B24">
      <w:r>
        <w:t xml:space="preserve">Education and outreach can play key roles in the improvement of the SDO and regulatory processes that drive predictability. </w:t>
      </w:r>
      <w:r w:rsidR="004701E9">
        <w:t xml:space="preserve">The three </w:t>
      </w:r>
      <w:r w:rsidR="00A76364">
        <w:t>R</w:t>
      </w:r>
      <w:r w:rsidR="004701E9">
        <w:t xml:space="preserve">ecommendations </w:t>
      </w:r>
      <w:r w:rsidR="009F3860">
        <w:t>(#1, 2, and 7)</w:t>
      </w:r>
      <w:r w:rsidR="004701E9">
        <w:t xml:space="preserve"> address transparency, compliance enforcement, and guidance on appropriate use. The corresponding Call</w:t>
      </w:r>
      <w:r w:rsidR="00B86231">
        <w:t>s</w:t>
      </w:r>
      <w:r w:rsidR="004701E9">
        <w:t xml:space="preserve"> </w:t>
      </w:r>
      <w:r w:rsidR="00A76364">
        <w:t xml:space="preserve">to Action </w:t>
      </w:r>
      <w:r w:rsidR="00BC6B6F">
        <w:t xml:space="preserve">(A, B, E, and F) </w:t>
      </w:r>
      <w:r w:rsidR="00A76364">
        <w:t xml:space="preserve">address barrier identification, </w:t>
      </w:r>
      <w:r w:rsidR="00CE4A03">
        <w:t xml:space="preserve">policy guidance from WEDI, collaboration to increase </w:t>
      </w:r>
      <w:r w:rsidR="00CE4A03">
        <w:lastRenderedPageBreak/>
        <w:t xml:space="preserve">and diversify participation, and a commitment to support SDOs through membership and volunteer SMEs. </w:t>
      </w:r>
    </w:p>
    <w:p w14:paraId="543C72A4" w14:textId="0418B98A" w:rsidR="004701E9" w:rsidRDefault="00266427" w:rsidP="00C34B24">
      <w:r>
        <w:t>Juxtaposed in this manner, it is difficult to see how the Call</w:t>
      </w:r>
      <w:r w:rsidR="00BC6B6F">
        <w:t>s</w:t>
      </w:r>
      <w:r>
        <w:t xml:space="preserve"> articulated in the materials addresses </w:t>
      </w:r>
      <w:r w:rsidR="002367AA">
        <w:t xml:space="preserve">transparency or compliance enforcement or comprehensive guidance, if not provided by WEDI. </w:t>
      </w:r>
    </w:p>
    <w:p w14:paraId="451D09FB" w14:textId="1A65526F" w:rsidR="00420E55" w:rsidRPr="004701E9" w:rsidRDefault="00420E55" w:rsidP="00C34B24">
      <w:r>
        <w:t xml:space="preserve">We believe that more specific guidance is required to address both the limited Recommendations listed under the goal of education and outreach and the wider goals articulated in the earlier hearings.  </w:t>
      </w:r>
    </w:p>
    <w:p w14:paraId="456C3AC6" w14:textId="47D698D9" w:rsidR="000F580C" w:rsidRDefault="00E51160" w:rsidP="00C34B24">
      <w:r>
        <w:t>It would be helpful if each of the hearing findings were addressed directly in Recommendations and each Recommendation were tied to one or more Call</w:t>
      </w:r>
      <w:r w:rsidR="00BF2F86">
        <w:t>s</w:t>
      </w:r>
      <w:r>
        <w:t xml:space="preserve"> to Action. </w:t>
      </w:r>
      <w:r w:rsidR="006844E3" w:rsidRPr="006844E3">
        <w:t xml:space="preserve"> Once the Calls to Action are </w:t>
      </w:r>
      <w:r w:rsidR="001B75B9">
        <w:t xml:space="preserve">tied to specific recommendations, </w:t>
      </w:r>
      <w:r w:rsidR="006844E3" w:rsidRPr="006844E3">
        <w:t xml:space="preserve">the </w:t>
      </w:r>
      <w:r w:rsidR="001B75B9">
        <w:t>corresponding</w:t>
      </w:r>
      <w:r w:rsidR="006844E3" w:rsidRPr="006844E3">
        <w:t xml:space="preserve"> Measurements will be</w:t>
      </w:r>
      <w:r w:rsidR="001B75B9">
        <w:t>come easier to identify and assess</w:t>
      </w:r>
      <w:r w:rsidR="006844E3" w:rsidRPr="006844E3">
        <w:t>.</w:t>
      </w:r>
    </w:p>
    <w:p w14:paraId="4EF1FAFD" w14:textId="77777777" w:rsidR="00F70684" w:rsidRDefault="00F70684" w:rsidP="00C34B24">
      <w:pPr>
        <w:pStyle w:val="Heading4"/>
      </w:pPr>
      <w:bookmarkStart w:id="7" w:name="_Toc533096812"/>
      <w:r>
        <w:t>Policy Levers</w:t>
      </w:r>
      <w:bookmarkEnd w:id="7"/>
    </w:p>
    <w:p w14:paraId="36B16810" w14:textId="3D49F925" w:rsidR="00F70684" w:rsidRDefault="00E35B80" w:rsidP="00C34B24">
      <w:r>
        <w:t>Policy levers are certainly critical in the development of a predictable roadmap. The Recommendations</w:t>
      </w:r>
      <w:r w:rsidR="00105982">
        <w:t xml:space="preserve"> (#3</w:t>
      </w:r>
      <w:r w:rsidR="00F53E43">
        <w:t xml:space="preserve">, </w:t>
      </w:r>
      <w:r w:rsidR="00105982">
        <w:t>4</w:t>
      </w:r>
      <w:r w:rsidR="00F53E43">
        <w:t>, and 5</w:t>
      </w:r>
      <w:r w:rsidR="00105982">
        <w:t>)</w:t>
      </w:r>
      <w:r>
        <w:t xml:space="preserve"> would dismantle the current DSMO and “enable the creation” of a new entity. Without more insight into the </w:t>
      </w:r>
      <w:r w:rsidR="00AB2B1D">
        <w:t>Subcommittee’s vision for the new entity</w:t>
      </w:r>
      <w:r w:rsidR="005C3771">
        <w:t>, its composition and manner of operation</w:t>
      </w:r>
      <w:r w:rsidR="00A05FE1">
        <w:t xml:space="preserve"> and authority</w:t>
      </w:r>
      <w:r w:rsidR="00AF6896">
        <w:t xml:space="preserve"> with respect to other </w:t>
      </w:r>
      <w:proofErr w:type="spellStart"/>
      <w:r w:rsidR="00AF6896">
        <w:t>stakeholders</w:t>
      </w:r>
      <w:r w:rsidR="00AB2B1D">
        <w:t>it</w:t>
      </w:r>
      <w:proofErr w:type="spellEnd"/>
      <w:r w:rsidR="00AB2B1D">
        <w:t xml:space="preserve"> is difficult to comment here. </w:t>
      </w:r>
    </w:p>
    <w:p w14:paraId="308393EA" w14:textId="014335E4" w:rsidR="00AB2B1D" w:rsidRDefault="00AB2B1D" w:rsidP="00C34B24">
      <w:r>
        <w:t>Additional recommendations</w:t>
      </w:r>
      <w:r w:rsidR="008D4CE0">
        <w:t xml:space="preserve"> (#8</w:t>
      </w:r>
      <w:r w:rsidR="00D64165">
        <w:t xml:space="preserve"> and 9)</w:t>
      </w:r>
      <w:r>
        <w:t xml:space="preserve"> call to publish regulations within </w:t>
      </w:r>
      <w:r w:rsidR="00896102">
        <w:t>one</w:t>
      </w:r>
      <w:r>
        <w:t xml:space="preserve"> year of recommendation to the Secretary and to provide resources for education, enforcement, and regulatory processes. </w:t>
      </w:r>
      <w:r w:rsidR="00896102">
        <w:t>Setting a predictable timetable for publication would move the industry to a position of greater predictability</w:t>
      </w:r>
      <w:r w:rsidR="009C7C44">
        <w:t>.</w:t>
      </w:r>
      <w:r w:rsidR="00896102">
        <w:t xml:space="preserve"> Whether the appropriate timeframe is one year depends on how the process as a whole is reimagined. We comment on this </w:t>
      </w:r>
      <w:r w:rsidR="00A161BA">
        <w:t xml:space="preserve">in </w:t>
      </w:r>
      <w:r w:rsidR="00D32AB9">
        <w:t>our additional recommendations (</w:t>
      </w:r>
      <w:r w:rsidR="009531BD">
        <w:t xml:space="preserve">see </w:t>
      </w:r>
      <w:r w:rsidR="00D32AB9">
        <w:t>section 3.2)</w:t>
      </w:r>
      <w:r w:rsidR="00896102">
        <w:t xml:space="preserve">. </w:t>
      </w:r>
    </w:p>
    <w:p w14:paraId="694F517E" w14:textId="374BD626" w:rsidR="00896102" w:rsidRDefault="00896102" w:rsidP="00C34B24">
      <w:r>
        <w:t xml:space="preserve">Providing adequate resources for program rollout and management seems an obvious requirement and does not require comment. </w:t>
      </w:r>
    </w:p>
    <w:p w14:paraId="736333B0" w14:textId="201F1EAB" w:rsidR="00896102" w:rsidRDefault="00896102" w:rsidP="00C34B24">
      <w:r>
        <w:t xml:space="preserve">As </w:t>
      </w:r>
      <w:r w:rsidR="006B6CE8">
        <w:t xml:space="preserve">in </w:t>
      </w:r>
      <w:r>
        <w:t xml:space="preserve">Education &amp; Outreach, we find that the Policy Lever Calls to Action are difficult to align with the corresponding Recommendations. </w:t>
      </w:r>
      <w:r w:rsidR="00635F25">
        <w:t>A unified and defined approach to validation</w:t>
      </w:r>
      <w:r w:rsidR="0083352F">
        <w:t xml:space="preserve"> and </w:t>
      </w:r>
      <w:r w:rsidR="00635F25">
        <w:t xml:space="preserve">certification and provision of the tool suites and authority to do so </w:t>
      </w:r>
      <w:r w:rsidR="00F06F59">
        <w:t xml:space="preserve">– all are </w:t>
      </w:r>
      <w:r w:rsidR="00635F25">
        <w:t xml:space="preserve">needed. We need greater insight into the Subcommittee’s vision on how </w:t>
      </w:r>
      <w:r w:rsidR="00F06F59">
        <w:t>these tasks are</w:t>
      </w:r>
      <w:r w:rsidR="00635F25">
        <w:t xml:space="preserve"> to be accomplished to comment on the appropriateness of these Calls to Action. </w:t>
      </w:r>
    </w:p>
    <w:p w14:paraId="4C1A8D09" w14:textId="77777777" w:rsidR="00635F25" w:rsidRDefault="00635F25" w:rsidP="00C34B24">
      <w:pPr>
        <w:pStyle w:val="Heading4"/>
      </w:pPr>
      <w:bookmarkStart w:id="8" w:name="_Toc533096813"/>
      <w:r>
        <w:t>Regulatory Actions</w:t>
      </w:r>
      <w:bookmarkEnd w:id="8"/>
    </w:p>
    <w:p w14:paraId="7AD803E6" w14:textId="410C99AB" w:rsidR="00635F25" w:rsidRDefault="00096900" w:rsidP="00C34B24">
      <w:r>
        <w:t xml:space="preserve">The Regulatory Recommendations </w:t>
      </w:r>
      <w:r w:rsidR="00CA525C">
        <w:t xml:space="preserve">(#6 and 10) </w:t>
      </w:r>
      <w:r>
        <w:t>suggest timelines for SDO/O</w:t>
      </w:r>
      <w:r w:rsidR="002F2EEB">
        <w:t xml:space="preserve">perating </w:t>
      </w:r>
      <w:r>
        <w:t>E</w:t>
      </w:r>
      <w:r w:rsidR="002F2EEB">
        <w:t>ntities</w:t>
      </w:r>
      <w:r>
        <w:t xml:space="preserve"> (minimum of 2 years); NCVHS recommendations (within 6 months); and HHS adoption (regular schedule, modified annually). </w:t>
      </w:r>
      <w:r w:rsidR="007C778A">
        <w:t xml:space="preserve">Allowing that we may not fully understand the Subcommittee’s intent, we concatenate these timelines and find a gap between definition of needed change and when that is acknowledged </w:t>
      </w:r>
      <w:r w:rsidR="002C0542">
        <w:t xml:space="preserve">(but possibly not allowed or required) </w:t>
      </w:r>
      <w:r w:rsidR="007C778A">
        <w:t xml:space="preserve">under regulation of approximately 3 years. </w:t>
      </w:r>
      <w:r w:rsidR="00D03132">
        <w:t>While this may improve predictability, it may not address the need for responsiveness</w:t>
      </w:r>
      <w:r w:rsidR="00AD5806">
        <w:t xml:space="preserve">. </w:t>
      </w:r>
    </w:p>
    <w:p w14:paraId="0602A8E2" w14:textId="36DACF71" w:rsidR="001B6C98" w:rsidRDefault="001B6C98" w:rsidP="00C34B24">
      <w:r>
        <w:t xml:space="preserve">The recommendation to publish “baseline” standards and to consider other options </w:t>
      </w:r>
      <w:r w:rsidR="0004367F">
        <w:t xml:space="preserve">(#11) </w:t>
      </w:r>
      <w:r w:rsidR="00CE07A6">
        <w:t xml:space="preserve">is </w:t>
      </w:r>
      <w:r>
        <w:t>promising and deserves elaboration. The recommendation to allow and support voluntary test and use of new standards</w:t>
      </w:r>
      <w:r w:rsidR="0004367F">
        <w:t xml:space="preserve"> (#12)</w:t>
      </w:r>
      <w:r>
        <w:t xml:space="preserve"> is significant and positive. We address how this can become part of a reimagining of the process in comments that follow. </w:t>
      </w:r>
    </w:p>
    <w:p w14:paraId="79801CE3" w14:textId="26C34929" w:rsidR="001B6C98" w:rsidRDefault="001B6C98" w:rsidP="00C34B24">
      <w:r>
        <w:t xml:space="preserve">Again, the regulatory Calls to Action are appropriate yet not comprehensive or directly addressing the corresponding Recommendations. </w:t>
      </w:r>
    </w:p>
    <w:p w14:paraId="4C086D88" w14:textId="1DF6A20A" w:rsidR="003A20BE" w:rsidRDefault="003A20BE" w:rsidP="00C34B24">
      <w:pPr>
        <w:pStyle w:val="Heading3"/>
      </w:pPr>
      <w:bookmarkStart w:id="9" w:name="_Toc533096814"/>
      <w:r w:rsidRPr="003A20BE">
        <w:lastRenderedPageBreak/>
        <w:t>What additional recommendations are critical to achieve predictability?</w:t>
      </w:r>
      <w:bookmarkEnd w:id="9"/>
    </w:p>
    <w:p w14:paraId="19B3149B" w14:textId="40AE6557" w:rsidR="00F17ABE" w:rsidRPr="00F17ABE" w:rsidRDefault="00A46DEB" w:rsidP="00C34B24">
      <w:r>
        <w:t xml:space="preserve">We suggest four areas that the Subcommittee may wish to consider in formulating its roadmap. These are not wholly apart from the recommendations outlined in the </w:t>
      </w:r>
      <w:r w:rsidR="00213A1D">
        <w:t xml:space="preserve">September 2018 draft, however, they may recast and augment them in a way that may clarify the path and render it more actionable. </w:t>
      </w:r>
    </w:p>
    <w:p w14:paraId="2E0DD3D4" w14:textId="1D1B6180" w:rsidR="00C62C00" w:rsidRDefault="00C721E3" w:rsidP="00C34B24">
      <w:pPr>
        <w:pStyle w:val="Heading4"/>
      </w:pPr>
      <w:bookmarkStart w:id="10" w:name="_Toc533096815"/>
      <w:r>
        <w:t>Realize Agile Practices with Continual Development and Test</w:t>
      </w:r>
      <w:bookmarkEnd w:id="10"/>
    </w:p>
    <w:p w14:paraId="3E782AAA" w14:textId="0E65C175" w:rsidR="00931C16" w:rsidRDefault="00276273" w:rsidP="00C34B24">
      <w:r>
        <w:t xml:space="preserve">Standards development, at least in the HL7 corner where we have most familiarity, is adopting a process of continual development, test, and revision with great success. </w:t>
      </w:r>
      <w:r w:rsidR="0072660E">
        <w:t xml:space="preserve">Starting with the adoption of a (Draft) Standard for Trial Use </w:t>
      </w:r>
      <w:r w:rsidR="0067326E">
        <w:t xml:space="preserve">and extending the process to concurrent standards development and testing environments, HL7 has </w:t>
      </w:r>
      <w:r w:rsidR="009B6C3D">
        <w:t xml:space="preserve">taken significant steps to support agile processes. </w:t>
      </w:r>
      <w:r w:rsidR="00C51579">
        <w:t xml:space="preserve">It is possible today to design a FHIR profile, bring it to an HL7 Connectathon engaging an increasingly large and diverse stakeholder group, and reflect findings back into ballotable proposals within a period of months. </w:t>
      </w:r>
    </w:p>
    <w:p w14:paraId="70BB6018" w14:textId="7C6A8509" w:rsidR="00592170" w:rsidRDefault="00592170" w:rsidP="00C34B24">
      <w:r>
        <w:t xml:space="preserve">We suggest that the Subcommittee consider how </w:t>
      </w:r>
      <w:proofErr w:type="gramStart"/>
      <w:r>
        <w:t>this</w:t>
      </w:r>
      <w:proofErr w:type="gramEnd"/>
      <w:r>
        <w:t xml:space="preserve"> or similar models can be encouraged and extended across SDOs and OEs. </w:t>
      </w:r>
    </w:p>
    <w:p w14:paraId="3F78E079" w14:textId="77777777" w:rsidR="003F3BD3" w:rsidRDefault="00EC41C6" w:rsidP="00C34B24">
      <w:r>
        <w:t>We suggest that a process of continual development, test, and refinement can be extended along the length of the predictability roadmap. As standards are moved into regulation, whatever time period is assessed as appropriate before</w:t>
      </w:r>
      <w:r w:rsidR="007B349C">
        <w:t xml:space="preserve"> publication and</w:t>
      </w:r>
      <w:r>
        <w:t xml:space="preserve"> adoption can extend the cycle into additional test, pilot, and production environments. </w:t>
      </w:r>
      <w:r w:rsidR="00DB0E70">
        <w:t xml:space="preserve">Such a move is in concert with the Subcommittee’s recommendation to </w:t>
      </w:r>
      <w:r w:rsidR="00765264">
        <w:t xml:space="preserve">allow voluntary use and support testing. We suggest that regulatory authorities may have methods to incentivize this participation which would also encourage diversification. </w:t>
      </w:r>
    </w:p>
    <w:p w14:paraId="69DE5648" w14:textId="0354FDC4" w:rsidR="00057CE5" w:rsidRDefault="003F3BD3" w:rsidP="00C34B24">
      <w:r>
        <w:t>The Draft R</w:t>
      </w:r>
      <w:r w:rsidR="00516BCE">
        <w:t xml:space="preserve">ecommendation report and </w:t>
      </w:r>
      <w:r w:rsidR="004046B5">
        <w:t>PowerPoint</w:t>
      </w:r>
      <w:r w:rsidR="00516BCE">
        <w:t xml:space="preserve"> illustrate the SDO and regulatory processes in classic waterfall fashion</w:t>
      </w:r>
      <w:r w:rsidR="00057CE5">
        <w:t>.</w:t>
      </w:r>
    </w:p>
    <w:p w14:paraId="16A82E23" w14:textId="3C71A1C9" w:rsidR="00516BCE" w:rsidRDefault="004C502B" w:rsidP="006368F9">
      <w:pPr>
        <w:pStyle w:val="Caption"/>
      </w:pPr>
      <w:bookmarkStart w:id="11" w:name="_Toc531874190"/>
      <w:r>
        <w:t xml:space="preserve">Figure </w:t>
      </w:r>
      <w:r w:rsidR="00507F2C">
        <w:rPr>
          <w:noProof/>
        </w:rPr>
        <w:fldChar w:fldCharType="begin"/>
      </w:r>
      <w:r w:rsidR="00507F2C">
        <w:rPr>
          <w:noProof/>
        </w:rPr>
        <w:instrText xml:space="preserve"> SEQ Figure \* ARABIC </w:instrText>
      </w:r>
      <w:r w:rsidR="00507F2C">
        <w:rPr>
          <w:noProof/>
        </w:rPr>
        <w:fldChar w:fldCharType="separate"/>
      </w:r>
      <w:r w:rsidR="004010A6">
        <w:rPr>
          <w:noProof/>
        </w:rPr>
        <w:t>1</w:t>
      </w:r>
      <w:r w:rsidR="00507F2C">
        <w:rPr>
          <w:noProof/>
        </w:rPr>
        <w:fldChar w:fldCharType="end"/>
      </w:r>
      <w:r>
        <w:t>: SDO and Regulatory Process Waterfall</w:t>
      </w:r>
      <w:r w:rsidR="00DA377A">
        <w:t xml:space="preserve"> Diagrams</w:t>
      </w:r>
      <w:bookmarkEnd w:id="11"/>
      <w:r w:rsidR="00057CE5">
        <w:t xml:space="preserve"> </w:t>
      </w:r>
    </w:p>
    <w:p w14:paraId="1D7E9D83" w14:textId="292E515B" w:rsidR="00EC41C6" w:rsidRDefault="006F6684" w:rsidP="00C34B24">
      <w:pPr>
        <w:rPr>
          <w:noProof/>
        </w:rPr>
      </w:pPr>
      <w:r w:rsidRPr="006F6684">
        <w:rPr>
          <w:noProof/>
        </w:rPr>
        <w:drawing>
          <wp:inline distT="0" distB="0" distL="0" distR="0" wp14:anchorId="117C4057" wp14:editId="4C7CA772">
            <wp:extent cx="1615682" cy="1331843"/>
            <wp:effectExtent l="0" t="0" r="3810" b="1905"/>
            <wp:docPr id="5" name="Content Placeholder 4">
              <a:extLst xmlns:a="http://schemas.openxmlformats.org/drawingml/2006/main">
                <a:ext uri="{FF2B5EF4-FFF2-40B4-BE49-F238E27FC236}">
                  <a16:creationId xmlns:a16="http://schemas.microsoft.com/office/drawing/2014/main" id="{B979499E-3693-4FDB-8C76-105FB35E23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979499E-3693-4FDB-8C76-105FB35E23D2}"/>
                        </a:ext>
                      </a:extLst>
                    </pic:cNvPr>
                    <pic:cNvPicPr>
                      <a:picLocks noGrp="1" noChangeAspect="1"/>
                    </pic:cNvPicPr>
                  </pic:nvPicPr>
                  <pic:blipFill rotWithShape="1">
                    <a:blip r:embed="rId18" cstate="screen">
                      <a:extLst>
                        <a:ext uri="{28A0092B-C50C-407E-A947-70E740481C1C}">
                          <a14:useLocalDpi xmlns:a14="http://schemas.microsoft.com/office/drawing/2010/main"/>
                        </a:ext>
                      </a:extLst>
                    </a:blip>
                    <a:srcRect l="10745" t="19115" r="12521" b="3030"/>
                    <a:stretch/>
                  </pic:blipFill>
                  <pic:spPr bwMode="auto">
                    <a:xfrm>
                      <a:off x="0" y="0"/>
                      <a:ext cx="1635838" cy="1348458"/>
                    </a:xfrm>
                    <a:prstGeom prst="rect">
                      <a:avLst/>
                    </a:prstGeom>
                    <a:ln>
                      <a:noFill/>
                    </a:ln>
                    <a:extLst>
                      <a:ext uri="{53640926-AAD7-44D8-BBD7-CCE9431645EC}">
                        <a14:shadowObscured xmlns:a14="http://schemas.microsoft.com/office/drawing/2010/main"/>
                      </a:ext>
                    </a:extLst>
                  </pic:spPr>
                </pic:pic>
              </a:graphicData>
            </a:graphic>
          </wp:inline>
        </w:drawing>
      </w:r>
      <w:r w:rsidR="00DB0E70">
        <w:t xml:space="preserve"> </w:t>
      </w:r>
      <w:r w:rsidR="00FD0D53" w:rsidRPr="00FD0D53">
        <w:rPr>
          <w:noProof/>
        </w:rPr>
        <w:drawing>
          <wp:inline distT="0" distB="0" distL="0" distR="0" wp14:anchorId="0BA37877" wp14:editId="110BA597">
            <wp:extent cx="2272748" cy="908643"/>
            <wp:effectExtent l="0" t="0" r="0" b="6350"/>
            <wp:docPr id="2" name="Picture 4">
              <a:extLst xmlns:a="http://schemas.openxmlformats.org/drawingml/2006/main">
                <a:ext uri="{FF2B5EF4-FFF2-40B4-BE49-F238E27FC236}">
                  <a16:creationId xmlns:a16="http://schemas.microsoft.com/office/drawing/2014/main" id="{39F61490-C583-408E-B820-EE7DA7A06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9F61490-C583-408E-B820-EE7DA7A061DE}"/>
                        </a:ext>
                      </a:extLst>
                    </pic:cNvPr>
                    <pic:cNvPicPr>
                      <a:picLocks noChangeAspect="1"/>
                    </pic:cNvPicPr>
                  </pic:nvPicPr>
                  <pic:blipFill rotWithShape="1">
                    <a:blip r:embed="rId19"/>
                    <a:srcRect l="2454" t="23387" r="7324" b="12487"/>
                    <a:stretch/>
                  </pic:blipFill>
                  <pic:spPr bwMode="auto">
                    <a:xfrm>
                      <a:off x="0" y="0"/>
                      <a:ext cx="2330985" cy="931926"/>
                    </a:xfrm>
                    <a:prstGeom prst="rect">
                      <a:avLst/>
                    </a:prstGeom>
                    <a:ln>
                      <a:noFill/>
                    </a:ln>
                    <a:extLst>
                      <a:ext uri="{53640926-AAD7-44D8-BBD7-CCE9431645EC}">
                        <a14:shadowObscured xmlns:a14="http://schemas.microsoft.com/office/drawing/2010/main"/>
                      </a:ext>
                    </a:extLst>
                  </pic:spPr>
                </pic:pic>
              </a:graphicData>
            </a:graphic>
          </wp:inline>
        </w:drawing>
      </w:r>
      <w:r w:rsidR="00BD2B3C" w:rsidRPr="00BD2B3C">
        <w:rPr>
          <w:noProof/>
        </w:rPr>
        <w:t xml:space="preserve"> </w:t>
      </w:r>
      <w:r w:rsidR="00BD2B3C" w:rsidRPr="00BD2B3C">
        <w:rPr>
          <w:noProof/>
        </w:rPr>
        <w:drawing>
          <wp:inline distT="0" distB="0" distL="0" distR="0" wp14:anchorId="1DC08D73" wp14:editId="3462E356">
            <wp:extent cx="1749260" cy="1503659"/>
            <wp:effectExtent l="0" t="0" r="3810" b="1905"/>
            <wp:docPr id="4" name="Picture 3">
              <a:extLst xmlns:a="http://schemas.openxmlformats.org/drawingml/2006/main">
                <a:ext uri="{FF2B5EF4-FFF2-40B4-BE49-F238E27FC236}">
                  <a16:creationId xmlns:a16="http://schemas.microsoft.com/office/drawing/2014/main" id="{9809DBE5-46C1-4547-BAF5-A72308E82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809DBE5-46C1-4547-BAF5-A72308E82647}"/>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l="9459" r="8673"/>
                    <a:stretch/>
                  </pic:blipFill>
                  <pic:spPr bwMode="auto">
                    <a:xfrm>
                      <a:off x="0" y="0"/>
                      <a:ext cx="1761366" cy="1514066"/>
                    </a:xfrm>
                    <a:prstGeom prst="rect">
                      <a:avLst/>
                    </a:prstGeom>
                    <a:ln>
                      <a:noFill/>
                    </a:ln>
                    <a:extLst>
                      <a:ext uri="{53640926-AAD7-44D8-BBD7-CCE9431645EC}">
                        <a14:shadowObscured xmlns:a14="http://schemas.microsoft.com/office/drawing/2010/main"/>
                      </a:ext>
                    </a:extLst>
                  </pic:spPr>
                </pic:pic>
              </a:graphicData>
            </a:graphic>
          </wp:inline>
        </w:drawing>
      </w:r>
    </w:p>
    <w:p w14:paraId="70F3E433" w14:textId="703A8695" w:rsidR="004046B5" w:rsidRPr="00931C16" w:rsidRDefault="004046B5" w:rsidP="00C34B24">
      <w:r>
        <w:t xml:space="preserve">We point this out to encourage the Subcommittee to consider how these pictures, when combined, might reflect smaller, iterative </w:t>
      </w:r>
      <w:r w:rsidR="00575960">
        <w:t>processes</w:t>
      </w:r>
      <w:r>
        <w:t>, with concurrent testing and implementation. Short of such a move, it may be difficult to provide a path that is predictable</w:t>
      </w:r>
      <w:r w:rsidR="004A0C9E">
        <w:t xml:space="preserve">, </w:t>
      </w:r>
      <w:r>
        <w:t>viable</w:t>
      </w:r>
      <w:r w:rsidR="004A0C9E">
        <w:t>, and addresses the need for responsiveness</w:t>
      </w:r>
      <w:r>
        <w:t xml:space="preserve"> with the appropriate balance of stability and support for innovation. </w:t>
      </w:r>
    </w:p>
    <w:p w14:paraId="63842DA7" w14:textId="22A42335" w:rsidR="00C62C00" w:rsidRDefault="0040460B" w:rsidP="00C34B24">
      <w:pPr>
        <w:pStyle w:val="Heading4"/>
      </w:pPr>
      <w:bookmarkStart w:id="12" w:name="_Toc533096816"/>
      <w:r>
        <w:t>Simplify and Unify Stakeholder Engagement</w:t>
      </w:r>
      <w:bookmarkEnd w:id="12"/>
    </w:p>
    <w:p w14:paraId="3218E89B" w14:textId="1049E4D0" w:rsidR="00DA377A" w:rsidRDefault="00AB6349" w:rsidP="00C34B24">
      <w:r>
        <w:t xml:space="preserve">As an organization that is both a stakeholder and one that supports the engagement of other stakeholders, our perspective is that rather than failing to offer opportunities for engagement, the current processes tend in the opposite direction, offering a proliferating array of overlapping or redundant and confusing opportunities to enter into and have an impact on the process. </w:t>
      </w:r>
      <w:r w:rsidR="00054329">
        <w:t>Again, with the caveat that the HL7 SDO process is the one that we know best, our view of engagement looks like the following</w:t>
      </w:r>
      <w:r w:rsidR="00DA377A">
        <w:t xml:space="preserve"> figure.</w:t>
      </w:r>
    </w:p>
    <w:p w14:paraId="6B2F5A36" w14:textId="3FD3E650" w:rsidR="005904C6" w:rsidRDefault="00DA377A" w:rsidP="006368F9">
      <w:pPr>
        <w:pStyle w:val="Caption"/>
      </w:pPr>
      <w:bookmarkStart w:id="13" w:name="_Toc531874191"/>
      <w:r>
        <w:lastRenderedPageBreak/>
        <w:t xml:space="preserve">Figure </w:t>
      </w:r>
      <w:r w:rsidR="00507F2C">
        <w:rPr>
          <w:noProof/>
        </w:rPr>
        <w:fldChar w:fldCharType="begin"/>
      </w:r>
      <w:r w:rsidR="00507F2C">
        <w:rPr>
          <w:noProof/>
        </w:rPr>
        <w:instrText xml:space="preserve"> SEQ Figure \* ARABIC </w:instrText>
      </w:r>
      <w:r w:rsidR="00507F2C">
        <w:rPr>
          <w:noProof/>
        </w:rPr>
        <w:fldChar w:fldCharType="separate"/>
      </w:r>
      <w:r w:rsidR="004010A6">
        <w:rPr>
          <w:noProof/>
        </w:rPr>
        <w:t>2</w:t>
      </w:r>
      <w:r w:rsidR="00507F2C">
        <w:rPr>
          <w:noProof/>
        </w:rPr>
        <w:fldChar w:fldCharType="end"/>
      </w:r>
      <w:r>
        <w:t xml:space="preserve">:  </w:t>
      </w:r>
      <w:r w:rsidR="006724AE">
        <w:t>Stakeholder Engagement in Standards Rulemaking, Current State</w:t>
      </w:r>
      <w:bookmarkEnd w:id="13"/>
    </w:p>
    <w:p w14:paraId="1E6A0305" w14:textId="79D02A37" w:rsidR="00BF143D" w:rsidRPr="00F50425" w:rsidRDefault="00BF143D" w:rsidP="00F50425"/>
    <w:p w14:paraId="4BFDEDCA" w14:textId="05AFB699" w:rsidR="00BF143D" w:rsidRPr="00F50425" w:rsidRDefault="00BF143D" w:rsidP="00F50425">
      <w:r w:rsidRPr="00F50425">
        <w:rPr>
          <w:noProof/>
        </w:rPr>
        <w:drawing>
          <wp:inline distT="0" distB="0" distL="0" distR="0" wp14:anchorId="40FCBD0A" wp14:editId="02D802F3">
            <wp:extent cx="5669280" cy="1711686"/>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9280" cy="1711686"/>
                    </a:xfrm>
                    <a:prstGeom prst="rect">
                      <a:avLst/>
                    </a:prstGeom>
                  </pic:spPr>
                </pic:pic>
              </a:graphicData>
            </a:graphic>
          </wp:inline>
        </w:drawing>
      </w:r>
    </w:p>
    <w:p w14:paraId="110487BD" w14:textId="35BAFCD0" w:rsidR="005904C6" w:rsidRDefault="005904C6" w:rsidP="00C34B24">
      <w:r>
        <w:t xml:space="preserve">In this picture, the stakeholder with a direct interest in the shape of an eventual standard/rule may need to follow the course of the </w:t>
      </w:r>
      <w:r w:rsidR="00DD392C">
        <w:t xml:space="preserve">proposal through each stage, tracking potential changes </w:t>
      </w:r>
      <w:r w:rsidR="003B6D34">
        <w:t xml:space="preserve">and providing input at each stage. If the interest is in an area that may cross SDO/OE boundaries, </w:t>
      </w:r>
      <w:r w:rsidR="004A52DA">
        <w:t xml:space="preserve">as is the case for example, for demographics, </w:t>
      </w:r>
      <w:r w:rsidR="003B6D34">
        <w:t>medications</w:t>
      </w:r>
      <w:r w:rsidR="004A52DA">
        <w:t xml:space="preserve">, </w:t>
      </w:r>
      <w:r w:rsidR="003B6D34">
        <w:t xml:space="preserve">problems, </w:t>
      </w:r>
      <w:r w:rsidR="004A52DA">
        <w:t xml:space="preserve">and many other data elements, </w:t>
      </w:r>
      <w:r w:rsidR="003B6D34">
        <w:t>the requirements</w:t>
      </w:r>
      <w:r w:rsidR="004C47D5">
        <w:t xml:space="preserve"> for engagement</w:t>
      </w:r>
      <w:r w:rsidR="003B6D34">
        <w:t xml:space="preserve"> can proliferate across SDO/OEs, increasing the level of attention required. </w:t>
      </w:r>
    </w:p>
    <w:p w14:paraId="23134FBC" w14:textId="732D918A" w:rsidR="007D7B5E" w:rsidRDefault="007D7B5E" w:rsidP="00C34B24">
      <w:r>
        <w:t>This prospect is overwhelming for all but the most well situated interests. In some cases, professional organizations have a commitment to representing member interests along the full trajectory</w:t>
      </w:r>
      <w:r w:rsidR="00AF6396">
        <w:t xml:space="preserve">. Increasing the ease with which such </w:t>
      </w:r>
      <w:r w:rsidR="00964FAC">
        <w:t xml:space="preserve">proxy </w:t>
      </w:r>
      <w:r w:rsidR="00AF6396">
        <w:t xml:space="preserve">organizations can do so would be a powerful addition to the </w:t>
      </w:r>
      <w:r w:rsidR="002366D0">
        <w:t xml:space="preserve">Education &amp; Outreach recommendations, perhaps learning from those organizations who have had the most success in doing so. </w:t>
      </w:r>
    </w:p>
    <w:p w14:paraId="713E3697" w14:textId="3B3F161C" w:rsidR="00F44B25" w:rsidRDefault="00F44B25" w:rsidP="00C34B24">
      <w:r>
        <w:t xml:space="preserve">The Subcommittee may also wish to consider this how this picture might be altered, and simplified, under our suggestion to move to concurrent, continual development and test. </w:t>
      </w:r>
    </w:p>
    <w:p w14:paraId="1DB549B6" w14:textId="1DB63369" w:rsidR="0040460B" w:rsidRDefault="0040460B" w:rsidP="00C34B24">
      <w:pPr>
        <w:pStyle w:val="Heading4"/>
      </w:pPr>
      <w:bookmarkStart w:id="14" w:name="_Toc533096817"/>
      <w:r>
        <w:t>Define the Philosophical Sweet Spot that Balances Stability with Innovation</w:t>
      </w:r>
      <w:bookmarkEnd w:id="14"/>
    </w:p>
    <w:p w14:paraId="5BB066D8" w14:textId="77777777" w:rsidR="00F53488" w:rsidRDefault="00B542C7" w:rsidP="00C34B24">
      <w:r>
        <w:t xml:space="preserve">We suggest that the path to predictability requires </w:t>
      </w:r>
      <w:r w:rsidR="002A3D4D">
        <w:t>industry consensus on the correspondence between the degree of change</w:t>
      </w:r>
      <w:r w:rsidR="00212D4C">
        <w:t xml:space="preserve">/innovation and the degree of review it requires. </w:t>
      </w:r>
    </w:p>
    <w:p w14:paraId="671607EA" w14:textId="6D0B0AF6" w:rsidR="00E7289C" w:rsidRDefault="00EB4B1F" w:rsidP="00C34B24">
      <w:r>
        <w:t xml:space="preserve">We suspect this is what the Subcommittee may have contemplated in recommending the publication of “baseline” standards. Presumably, non-baseline standards would not require new regulation. </w:t>
      </w:r>
      <w:r w:rsidR="00D92CFD">
        <w:t xml:space="preserve">Where the Subcommittee may land on this question will drive, to a large degree, the potential to shorten the timeline from requirement to implementation: if more permissive, a shorter timeline can be achieved; if less permissive, the timeline extends because the consequences are greater. </w:t>
      </w:r>
    </w:p>
    <w:p w14:paraId="71DEFD10" w14:textId="74767670" w:rsidR="00B542C7" w:rsidRDefault="00D92CFD" w:rsidP="00C34B24">
      <w:r>
        <w:t xml:space="preserve">Taken to the extreme, this can become a negatively reinforcing cycle where regulation is so stringent that all parties require hyper-vigilance, which extends the timeline, </w:t>
      </w:r>
      <w:r w:rsidR="00E7289C">
        <w:t xml:space="preserve">which increases the pressure to “get it right”. Conversely, a looser interpretation of what requires full review can make it easier to provide that review and achieve publication. </w:t>
      </w:r>
    </w:p>
    <w:p w14:paraId="49A925BC" w14:textId="2B2637E2" w:rsidR="00F53488" w:rsidRPr="00062AB1" w:rsidRDefault="00FE49AE" w:rsidP="00C34B24">
      <w:r w:rsidRPr="00062AB1">
        <w:t xml:space="preserve">We suggest that the </w:t>
      </w:r>
      <w:r w:rsidR="004D04B7">
        <w:t>r</w:t>
      </w:r>
      <w:r w:rsidR="00F53488" w:rsidRPr="00062AB1">
        <w:t xml:space="preserve">oadmap be based on </w:t>
      </w:r>
      <w:r w:rsidRPr="00062AB1">
        <w:t xml:space="preserve">an approach to </w:t>
      </w:r>
      <w:r w:rsidR="00F53488" w:rsidRPr="00062AB1">
        <w:t xml:space="preserve">HIT standards that takes a position on </w:t>
      </w:r>
      <w:r w:rsidR="00062AB1" w:rsidRPr="00062AB1">
        <w:t xml:space="preserve">satisfaction of </w:t>
      </w:r>
      <w:r w:rsidR="00F53488" w:rsidRPr="00062AB1">
        <w:t>local</w:t>
      </w:r>
      <w:r w:rsidR="00062AB1" w:rsidRPr="00062AB1">
        <w:t xml:space="preserve"> vs. global requirements; looser vs. tighter regulations</w:t>
      </w:r>
      <w:r w:rsidR="009F0ABC">
        <w:t xml:space="preserve"> with corresponding</w:t>
      </w:r>
      <w:r w:rsidR="00062AB1" w:rsidRPr="00062AB1">
        <w:t xml:space="preserve"> </w:t>
      </w:r>
      <w:r w:rsidR="00F53488" w:rsidRPr="00062AB1">
        <w:t>longer timelines for major changes vs</w:t>
      </w:r>
      <w:r w:rsidR="0061175F">
        <w:t>.</w:t>
      </w:r>
      <w:r w:rsidR="00F53488" w:rsidRPr="00062AB1">
        <w:t xml:space="preserve"> radically shorter timelines for minor changes. </w:t>
      </w:r>
    </w:p>
    <w:p w14:paraId="5A73F644" w14:textId="4E709AC1" w:rsidR="00AE2EB6" w:rsidRPr="00B542C7" w:rsidRDefault="00200CBE" w:rsidP="00C34B24">
      <w:r>
        <w:t xml:space="preserve">Coming to such an agreement in a manner which could provide consistency across SDOs/OEs is a non-trivial task, however, the process of doing so may surface opportunities for alignment among the entities. </w:t>
      </w:r>
    </w:p>
    <w:p w14:paraId="60D83E00" w14:textId="6A49ACFF" w:rsidR="00C62C00" w:rsidRDefault="00B2654A" w:rsidP="00C34B24">
      <w:pPr>
        <w:pStyle w:val="Heading4"/>
      </w:pPr>
      <w:bookmarkStart w:id="15" w:name="_Toc533096818"/>
      <w:r>
        <w:lastRenderedPageBreak/>
        <w:t>Create a Business Model Founded on</w:t>
      </w:r>
      <w:r w:rsidR="00EA6EE1">
        <w:t xml:space="preserve"> Greater Collaboration between SDOs and Regulators</w:t>
      </w:r>
      <w:bookmarkEnd w:id="15"/>
    </w:p>
    <w:p w14:paraId="3CDE5DD0" w14:textId="3604C664" w:rsidR="005612B0" w:rsidRDefault="006B312C" w:rsidP="00C34B24">
      <w:r>
        <w:t xml:space="preserve">We recommend that open (cost-free) access become a condition of government recognition of a standard via regulation and of government support for standards activity. </w:t>
      </w:r>
      <w:r w:rsidR="005612B0">
        <w:t xml:space="preserve">Having served on the Board of Directors of HL7, we are </w:t>
      </w:r>
      <w:proofErr w:type="gramStart"/>
      <w:r w:rsidR="005612B0">
        <w:t>well aware</w:t>
      </w:r>
      <w:proofErr w:type="gramEnd"/>
      <w:r w:rsidR="005612B0">
        <w:t xml:space="preserve"> of the struggle to </w:t>
      </w:r>
      <w:r w:rsidR="005A6665">
        <w:t xml:space="preserve">define and sustain a business model where the primary product is created by volunteers and the market </w:t>
      </w:r>
      <w:r w:rsidR="0035421E">
        <w:t>demands that</w:t>
      </w:r>
      <w:r w:rsidR="005A6665">
        <w:t xml:space="preserve"> it to be provided without cost. </w:t>
      </w:r>
      <w:r w:rsidR="008C12F2">
        <w:t xml:space="preserve">We have no silver bullet </w:t>
      </w:r>
      <w:r w:rsidR="004F0B27">
        <w:t>to aim at this target</w:t>
      </w:r>
      <w:r w:rsidR="008D2D58">
        <w:t xml:space="preserve"> other than to surface it as a concern that must be shared with regulators who depend on the work committed under the SDO banners</w:t>
      </w:r>
      <w:r w:rsidR="0035421E">
        <w:t xml:space="preserve">. </w:t>
      </w:r>
    </w:p>
    <w:p w14:paraId="2F615501" w14:textId="797A968C" w:rsidR="0040460B" w:rsidRPr="0040460B" w:rsidRDefault="00B759E3" w:rsidP="00C34B24">
      <w:r>
        <w:t xml:space="preserve">In our work with HL7 we came to see the acquisition of requirements as the most valuable input that a stakeholder can provide. We view regulators, in this light, as </w:t>
      </w:r>
      <w:r w:rsidR="00EE5FF3">
        <w:t>a</w:t>
      </w:r>
      <w:r>
        <w:t xml:space="preserve"> stakeholder along with private industry, feeding requirements to the SDOs. We would like to see </w:t>
      </w:r>
      <w:r w:rsidR="006F51FC">
        <w:t xml:space="preserve">an agile process </w:t>
      </w:r>
      <w:r>
        <w:t>emerge from this work with continual test and development</w:t>
      </w:r>
      <w:r w:rsidR="00AE1E7C">
        <w:t xml:space="preserve"> that supports</w:t>
      </w:r>
      <w:r>
        <w:t xml:space="preserve"> a collaborative approach in which effort is not duplicated across entities and the role of the SDOs is recognized as service to all stakeholders. </w:t>
      </w:r>
      <w:r w:rsidR="00EA6EE1">
        <w:t xml:space="preserve">This would depart from the current model where government requirements may not be directly conveyed to an SDO and the resulting published standard may require additional layers of standardization via regulation. This should become a single process with greater coordination, collaboration, and mutual support. </w:t>
      </w:r>
    </w:p>
    <w:p w14:paraId="7A5EC841" w14:textId="06331215" w:rsidR="003A20BE" w:rsidRDefault="003A20BE" w:rsidP="00C34B24">
      <w:pPr>
        <w:pStyle w:val="Heading3"/>
      </w:pPr>
      <w:bookmarkStart w:id="16" w:name="_Toc533096819"/>
      <w:r w:rsidRPr="003A20BE">
        <w:t>What is the value proposition of each recommendation and what improvements to the current state do you believe will arise from each recommendation/group of similar recommendations?</w:t>
      </w:r>
      <w:bookmarkEnd w:id="16"/>
    </w:p>
    <w:p w14:paraId="70495A7C" w14:textId="1B16D68C" w:rsidR="00EC7811" w:rsidRDefault="004E4F8F" w:rsidP="00C34B24">
      <w:r>
        <w:t xml:space="preserve">We suggest that the test and development we have stressed in our comments should include rigorous evaluation of cost and benefit to all stakeholders. Test, today, where it occurs, focuses on “is it technically sound?” to the exclusion of “what impact does this have on care delivery? On the business of healthcare?”. </w:t>
      </w:r>
    </w:p>
    <w:p w14:paraId="56317999" w14:textId="64425DFA" w:rsidR="004E4F8F" w:rsidRPr="00EC7811" w:rsidRDefault="004E4F8F" w:rsidP="00C34B24">
      <w:r>
        <w:t xml:space="preserve">Until we see these </w:t>
      </w:r>
      <w:r w:rsidR="000A19C5">
        <w:t xml:space="preserve">other </w:t>
      </w:r>
      <w:r>
        <w:t xml:space="preserve">areas as required, concurrent measurements, it will remain difficult to assess a value proposition that speaks to the industry as a whole. </w:t>
      </w:r>
      <w:r w:rsidR="00EE32C4">
        <w:t xml:space="preserve">Perfect standards and elegant regulations that break business models </w:t>
      </w:r>
      <w:r w:rsidR="007835BC">
        <w:t xml:space="preserve">and </w:t>
      </w:r>
      <w:r w:rsidR="004D39BA">
        <w:t xml:space="preserve">disrupt </w:t>
      </w:r>
      <w:r w:rsidR="007835BC">
        <w:t xml:space="preserve">care delivery </w:t>
      </w:r>
      <w:r w:rsidR="00147898">
        <w:t>cannot succeed</w:t>
      </w:r>
      <w:r w:rsidR="00EE32C4">
        <w:t xml:space="preserve">. </w:t>
      </w:r>
    </w:p>
    <w:p w14:paraId="21355B41" w14:textId="7CCE1332" w:rsidR="003A20BE" w:rsidRDefault="003A20BE" w:rsidP="00C34B24">
      <w:pPr>
        <w:pStyle w:val="Heading3"/>
      </w:pPr>
      <w:bookmarkStart w:id="17" w:name="_Toc533096820"/>
      <w:r w:rsidRPr="003A20BE">
        <w:t>Are there potential unintended consequences? What are those and how can they be mitigated with modifications to the recommendations?</w:t>
      </w:r>
      <w:bookmarkEnd w:id="17"/>
    </w:p>
    <w:p w14:paraId="5F6608B1" w14:textId="77777777" w:rsidR="00760812" w:rsidRPr="00147898" w:rsidRDefault="00147898" w:rsidP="00760812">
      <w:r>
        <w:t>We find that there are always unintended consequences.</w:t>
      </w:r>
      <w:r w:rsidR="00760812">
        <w:t xml:space="preserve"> Overall, we can say that one benefit of the shift to an agile framework could be earlier detection of unintended consequences, rendering them easier to address. </w:t>
      </w:r>
    </w:p>
    <w:p w14:paraId="08C35868" w14:textId="543F9436" w:rsidR="00147898" w:rsidRDefault="00147898" w:rsidP="00C34B24">
      <w:r>
        <w:t xml:space="preserve">Among the recommendations here, the one we perceive with the highest risk of an unintended consequence is the recommendation for a new entity replacing the DSMO. </w:t>
      </w:r>
      <w:r w:rsidR="00BF7213">
        <w:t>Without a detailed design for the entity,</w:t>
      </w:r>
      <w:r w:rsidR="00760812">
        <w:t xml:space="preserve"> including vision/charter, makeup, how staff/participation is determined, along with the mandate and authority,</w:t>
      </w:r>
      <w:r w:rsidR="00BF7213">
        <w:t xml:space="preserve"> it is unclear how it will avoid the issues underlying the DSMO. </w:t>
      </w:r>
    </w:p>
    <w:p w14:paraId="2625B8D4" w14:textId="1030755C" w:rsidR="00043A68" w:rsidRDefault="00043A68">
      <w:pPr>
        <w:spacing w:line="360" w:lineRule="auto"/>
      </w:pPr>
      <w:r>
        <w:br w:type="page"/>
      </w:r>
    </w:p>
    <w:p w14:paraId="2E1303D2" w14:textId="7EB5C413" w:rsidR="00043A68" w:rsidRDefault="00043A68" w:rsidP="00DD6E1E">
      <w:pPr>
        <w:pStyle w:val="Heading2"/>
      </w:pPr>
      <w:bookmarkStart w:id="18" w:name="_Toc533096821"/>
      <w:r>
        <w:lastRenderedPageBreak/>
        <w:t>Post-Hearing Comments</w:t>
      </w:r>
      <w:bookmarkEnd w:id="18"/>
    </w:p>
    <w:p w14:paraId="4F50E3D3" w14:textId="5D50BABB" w:rsidR="00060506" w:rsidRDefault="00886EC2" w:rsidP="00C34B24">
      <w:r>
        <w:t>These comments follow on verbal remarks presented by</w:t>
      </w:r>
      <w:r w:rsidR="0074102C">
        <w:t xml:space="preserve"> </w:t>
      </w:r>
      <w:r w:rsidR="00C63F5D">
        <w:t>participants</w:t>
      </w:r>
      <w:r w:rsidR="0074102C">
        <w:t>, including</w:t>
      </w:r>
      <w:r>
        <w:t xml:space="preserve"> Liora</w:t>
      </w:r>
      <w:r w:rsidR="0074102C">
        <w:t>,</w:t>
      </w:r>
      <w:r>
        <w:t xml:space="preserve"> at the December 12-13 hearing of the Subcommittee on Standards. </w:t>
      </w:r>
    </w:p>
    <w:p w14:paraId="6ACC8506" w14:textId="165D4475" w:rsidR="0074102C" w:rsidRDefault="0074102C" w:rsidP="00E74370">
      <w:pPr>
        <w:pStyle w:val="Heading3"/>
      </w:pPr>
      <w:bookmarkStart w:id="19" w:name="_Toc533096822"/>
      <w:r>
        <w:t>Modeling agile standards development and implementation</w:t>
      </w:r>
      <w:bookmarkEnd w:id="19"/>
    </w:p>
    <w:p w14:paraId="13180676" w14:textId="551263E5" w:rsidR="00D338FE" w:rsidRDefault="009E4D45" w:rsidP="00D338FE">
      <w:r>
        <w:t xml:space="preserve">In our initial comments we suggested adoption of a more agile, versus waterfall, approach. This theme was prominent during the day and a half hearing, being voiced and amplified by several participants. </w:t>
      </w:r>
      <w:r w:rsidR="00EC2230">
        <w:t xml:space="preserve">Given the difficulty weighing the role of regulation and of industry-initiated efforts, we suggest that a useful first step might be to create a model or several models of how “agile standards development and implementation” might look, understanding that here, the government is not only a regulator, but also a key stakeholder. </w:t>
      </w:r>
    </w:p>
    <w:p w14:paraId="3D8F1D03" w14:textId="08692A6C" w:rsidR="00CB495E" w:rsidRPr="00D338FE" w:rsidRDefault="00CB495E" w:rsidP="00D338FE">
      <w:r>
        <w:t xml:space="preserve">Such a model could become the focal point for discussion and eventually evolve into a requirement of a proof of concept project. </w:t>
      </w:r>
    </w:p>
    <w:p w14:paraId="59B3A567" w14:textId="49A25387" w:rsidR="0074102C" w:rsidRDefault="0074102C" w:rsidP="00E74370">
      <w:pPr>
        <w:pStyle w:val="Heading3"/>
      </w:pPr>
      <w:bookmarkStart w:id="20" w:name="_Toc533096823"/>
      <w:r>
        <w:t>Integration of administrative and clinical content</w:t>
      </w:r>
      <w:bookmarkEnd w:id="20"/>
      <w:r>
        <w:t xml:space="preserve"> </w:t>
      </w:r>
    </w:p>
    <w:p w14:paraId="736B4565" w14:textId="640CBDD1" w:rsidR="00040D74" w:rsidRDefault="00A05A5F" w:rsidP="00A05A5F">
      <w:r>
        <w:t xml:space="preserve">The narrative </w:t>
      </w:r>
      <w:r w:rsidRPr="00A05A5F">
        <w:rPr>
          <w:i/>
        </w:rPr>
        <w:t>Brief History and Draft Recommendations</w:t>
      </w:r>
      <w:r>
        <w:t xml:space="preserve"> notes that “As experience in use of health IT grows, and the convergence of the systems for administrative and clinical data evolves, the need for predictability and the ability to innovate has increased.” (p.7) </w:t>
      </w:r>
      <w:r w:rsidR="007D5025">
        <w:t xml:space="preserve">At the hearing, this very convergence was mentioned by </w:t>
      </w:r>
      <w:r w:rsidR="00066E61" w:rsidRPr="00066E61">
        <w:t>William W. Stead, MD, NCVHS Chair</w:t>
      </w:r>
      <w:r w:rsidR="00066E61">
        <w:t xml:space="preserve"> as possibly contributing to a lack of clarity over where information should live – in a transaction or in a clinical </w:t>
      </w:r>
      <w:r w:rsidR="00021B51">
        <w:t xml:space="preserve">API, message, or document – and that this lack of clarity was one possible cause of the difficulty moving to the next generation of HIPAA standards. </w:t>
      </w:r>
      <w:r w:rsidR="00CA717E">
        <w:t xml:space="preserve">We concur strongly with this observation and suggest that it become the basis for analysis and assessment. </w:t>
      </w:r>
    </w:p>
    <w:p w14:paraId="6038CFFB" w14:textId="51EB9C2A" w:rsidR="00CA717E" w:rsidRPr="00040D74" w:rsidRDefault="00CA717E" w:rsidP="00A05A5F">
      <w:r>
        <w:t>The assessment would review the evolution of requirements layered onto the X12 transaction sets for electronic claims processing and report on what the evolution reveals in terms of potential overlap or lack of clarity in the basic function of the transaction set against increasing potential for alternate</w:t>
      </w:r>
      <w:r w:rsidR="00822A58">
        <w:t xml:space="preserve"> (and more prevalent</w:t>
      </w:r>
      <w:r w:rsidR="00A938AD">
        <w:t>) methods of</w:t>
      </w:r>
      <w:r>
        <w:t xml:space="preserve"> access to clinical information. </w:t>
      </w:r>
    </w:p>
    <w:p w14:paraId="2381B9F5" w14:textId="2E349C81" w:rsidR="0074102C" w:rsidRDefault="0074102C" w:rsidP="00E74370">
      <w:pPr>
        <w:pStyle w:val="Heading3"/>
      </w:pPr>
      <w:bookmarkStart w:id="21" w:name="_Toc533096824"/>
      <w:r>
        <w:t>Addressing heterogeneity among stakeholders</w:t>
      </w:r>
      <w:bookmarkEnd w:id="21"/>
    </w:p>
    <w:p w14:paraId="3364C4D3" w14:textId="4DDF88CA" w:rsidR="001B7434" w:rsidRDefault="005838C0" w:rsidP="001B7434">
      <w:r>
        <w:t xml:space="preserve">There was much discussion at the hearing on the different levels of capability/technical sophistication among stakeholders and the need to ensure that all will have the capability to deploy new standards as they are released and, eventually, required. </w:t>
      </w:r>
      <w:r w:rsidR="00EA3CAB">
        <w:t xml:space="preserve">Here, we suggest that the Subcommittee consider this disparity as a multidimensional question: on one axis the differing levels of HIT infrastructure and on another the demands of localization which introduce optionality or extensibility into data standards. </w:t>
      </w:r>
      <w:r w:rsidR="004A0EC8">
        <w:t xml:space="preserve">The issues are distinct in their genesis and in their resolution. </w:t>
      </w:r>
    </w:p>
    <w:p w14:paraId="138F8367" w14:textId="235C4835" w:rsidR="003F5D70" w:rsidRDefault="00B06FC0" w:rsidP="001B7434">
      <w:r>
        <w:t>There are many</w:t>
      </w:r>
      <w:r w:rsidR="003F5D70">
        <w:t xml:space="preserve"> example</w:t>
      </w:r>
      <w:r>
        <w:t>s</w:t>
      </w:r>
      <w:r w:rsidR="003F5D70">
        <w:t xml:space="preserve"> of distinct levels of infrastructure</w:t>
      </w:r>
      <w:r>
        <w:t xml:space="preserve"> found today. These include the presence/absence of an EHR and where there is an EHR, the degree to which it is integrated with Practice Management software. Capacity for management of standard terminologies is another key differentiator across the industry, with all but the larger players having little </w:t>
      </w:r>
      <w:r w:rsidR="00AD5B20">
        <w:t>to</w:t>
      </w:r>
      <w:r>
        <w:t xml:space="preserve"> no capacity apart from public utilities such as the National Library of Medicine Value Set Authority Center. </w:t>
      </w:r>
    </w:p>
    <w:p w14:paraId="36F8FF70" w14:textId="7EA50180" w:rsidR="00B06FC0" w:rsidRDefault="00B06FC0" w:rsidP="001B7434">
      <w:r>
        <w:t xml:space="preserve">Examples, on the other hand, </w:t>
      </w:r>
      <w:r w:rsidR="00AF6BD1">
        <w:t>of the second axis, include the unbounded set of local requirements stemming from state</w:t>
      </w:r>
      <w:r w:rsidR="00FE7BBC">
        <w:t>, enterprise,</w:t>
      </w:r>
      <w:r w:rsidR="00AF6BD1">
        <w:t xml:space="preserve"> and specialty</w:t>
      </w:r>
      <w:r w:rsidR="00FE7BBC">
        <w:t>-</w:t>
      </w:r>
      <w:r w:rsidR="00AF6BD1">
        <w:t>related requirements</w:t>
      </w:r>
      <w:r w:rsidR="00FE7BBC">
        <w:t xml:space="preserve"> such as immunization and BMI information for pediatrics or activities of daily living scales for geriatrics; facility locator codes; and local insurance requirements. </w:t>
      </w:r>
    </w:p>
    <w:p w14:paraId="55F65C05" w14:textId="71E13644" w:rsidR="00797987" w:rsidRPr="00797987" w:rsidRDefault="00FE7BBC" w:rsidP="00797987">
      <w:r>
        <w:lastRenderedPageBreak/>
        <w:t xml:space="preserve">We find it essential to disambiguate these two types of heterogeneity when discussing the perennial question of “how standard” a </w:t>
      </w:r>
      <w:proofErr w:type="gramStart"/>
      <w:r>
        <w:t>standard needs</w:t>
      </w:r>
      <w:proofErr w:type="gramEnd"/>
      <w:r>
        <w:t xml:space="preserve"> to be. Where </w:t>
      </w:r>
      <w:r w:rsidR="008871EA">
        <w:t xml:space="preserve">the first aspect is in question, an incremental approach that allows everyone to participate and incentivizes increased capacity can be effective. In the latter, a scalable and flexible information architecture is required where local variation is anticipated and does not break an otherwise prescriptive model, at any level of complexity. </w:t>
      </w:r>
    </w:p>
    <w:p w14:paraId="607BB2C7" w14:textId="67EBC5D6" w:rsidR="0074102C" w:rsidRDefault="00E74370" w:rsidP="00E74370">
      <w:pPr>
        <w:pStyle w:val="Heading3"/>
      </w:pPr>
      <w:bookmarkStart w:id="22" w:name="_Toc533096825"/>
      <w:r>
        <w:t>Incomparable comparisons</w:t>
      </w:r>
      <w:bookmarkEnd w:id="22"/>
    </w:p>
    <w:p w14:paraId="5B119BC0" w14:textId="7748D728" w:rsidR="008871EA" w:rsidRDefault="0039043F" w:rsidP="008871EA">
      <w:r>
        <w:t xml:space="preserve">Finally, we hope to </w:t>
      </w:r>
      <w:r w:rsidR="008340F8">
        <w:t>express our appreciation for the magnitude of the task assumed by</w:t>
      </w:r>
      <w:r w:rsidR="00EE6B4E">
        <w:t xml:space="preserve"> the Subcommittee </w:t>
      </w:r>
      <w:r w:rsidR="008340F8">
        <w:t xml:space="preserve">and accompany it with a comment on incomparable comparisons and expectation setting. While comparisons to ATMs and </w:t>
      </w:r>
      <w:proofErr w:type="spellStart"/>
      <w:r w:rsidR="008340F8">
        <w:t>Wifi</w:t>
      </w:r>
      <w:proofErr w:type="spellEnd"/>
      <w:r w:rsidR="008340F8">
        <w:t xml:space="preserve"> and numerous other highly functional systems that run well </w:t>
      </w:r>
      <w:proofErr w:type="gramStart"/>
      <w:r w:rsidR="008340F8">
        <w:t>on the basis of</w:t>
      </w:r>
      <w:proofErr w:type="gramEnd"/>
      <w:r w:rsidR="008340F8">
        <w:t xml:space="preserve"> </w:t>
      </w:r>
      <w:r w:rsidR="00677DC0">
        <w:t xml:space="preserve">communications and data standards are useful, we find there is no domain or problem set that approaches the complexity of the health information domain where clinical information plays even the smallest role. </w:t>
      </w:r>
      <w:r w:rsidR="00D96A6A">
        <w:t xml:space="preserve">From our background, we have some familiarity with data standards for publishing, semi-conductor manufacturing, early electronic funds transfer, and others. None compare in extent, rate of growth, variability to any single branch of medicine and healthcare delivery. </w:t>
      </w:r>
    </w:p>
    <w:p w14:paraId="40730CD9" w14:textId="6AA9EBCA" w:rsidR="00D96A6A" w:rsidRDefault="00D96A6A" w:rsidP="008871EA">
      <w:r>
        <w:t xml:space="preserve">This singularity should not be lost in the pursuit of improved interoperability and information-driven </w:t>
      </w:r>
      <w:r w:rsidR="00BC121C">
        <w:t xml:space="preserve">decision making. </w:t>
      </w:r>
    </w:p>
    <w:p w14:paraId="13C7A497" w14:textId="16F47AFD" w:rsidR="00BC121C" w:rsidRPr="008871EA" w:rsidRDefault="00BC121C" w:rsidP="008871EA">
      <w:r>
        <w:t xml:space="preserve">One key outcome of keeping the singularity in mind </w:t>
      </w:r>
      <w:r w:rsidR="004762BC">
        <w:t>would be</w:t>
      </w:r>
      <w:r>
        <w:t xml:space="preserve"> maintaining the centrality of narrative along with the continued expansion of coding and classification systems/ontologies. </w:t>
      </w:r>
      <w:r w:rsidR="00DB25FB">
        <w:t>There are real, practical limits to the degree to which information can be coded and classified as it is captured and greater limits to the degree to which such coding and classification can be standardized across systems</w:t>
      </w:r>
      <w:r w:rsidR="00303EDA">
        <w:t xml:space="preserve"> and this limit is not unique to healthcare. Real estate and finance, while standardized on forms and transactions, continue to function with </w:t>
      </w:r>
      <w:r w:rsidR="003B6545">
        <w:t>the support of large document management systems that</w:t>
      </w:r>
      <w:r w:rsidR="00E61876">
        <w:t xml:space="preserve">, as yet, have had little to no mindshare as key applications within healthcare standards initiatives. </w:t>
      </w:r>
    </w:p>
    <w:sectPr w:rsidR="00BC121C" w:rsidRPr="008871EA" w:rsidSect="00650DD1">
      <w:pgSz w:w="12240" w:h="15840" w:code="1"/>
      <w:pgMar w:top="1440" w:right="1440" w:bottom="1440" w:left="1440" w:header="576"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20C4A" w14:textId="77777777" w:rsidR="008F2F42" w:rsidRDefault="008F2F42" w:rsidP="00FB76D9">
      <w:r>
        <w:separator/>
      </w:r>
    </w:p>
    <w:p w14:paraId="59AE1C3E" w14:textId="77777777" w:rsidR="008F2F42" w:rsidRDefault="008F2F42" w:rsidP="00FB76D9"/>
  </w:endnote>
  <w:endnote w:type="continuationSeparator" w:id="0">
    <w:p w14:paraId="1564BFDF" w14:textId="77777777" w:rsidR="008F2F42" w:rsidRDefault="008F2F42" w:rsidP="00FB76D9">
      <w:r>
        <w:continuationSeparator/>
      </w:r>
    </w:p>
    <w:p w14:paraId="55219006" w14:textId="77777777" w:rsidR="008F2F42" w:rsidRDefault="008F2F42" w:rsidP="00FB76D9"/>
  </w:endnote>
  <w:endnote w:type="continuationNotice" w:id="1">
    <w:p w14:paraId="085BBFD0" w14:textId="77777777" w:rsidR="008F2F42" w:rsidRDefault="008F2F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C2A15" w14:textId="77777777" w:rsidR="007043A8" w:rsidRDefault="007043A8" w:rsidP="00B20198">
    <w:pPr>
      <w:pStyle w:val="Footer"/>
      <w:ind w:left="-720" w:right="-720"/>
      <w:rPr>
        <w:rStyle w:val="FooterChar"/>
      </w:rPr>
    </w:pPr>
    <w:r>
      <w:rPr>
        <w:noProof/>
      </w:rPr>
      <w:drawing>
        <wp:inline distT="0" distB="0" distL="0" distR="0" wp14:anchorId="217C452C" wp14:editId="07342FA0">
          <wp:extent cx="6858000" cy="365760"/>
          <wp:effectExtent l="0" t="0" r="0" b="0"/>
          <wp:docPr id="10" name="Picture 10" descr="Lantana Consulting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ntana_7.5 logo footer.jpg"/>
                  <pic:cNvPicPr/>
                </pic:nvPicPr>
                <pic:blipFill>
                  <a:blip r:embed="rId1"/>
                  <a:stretch>
                    <a:fillRect/>
                  </a:stretch>
                </pic:blipFill>
                <pic:spPr>
                  <a:xfrm>
                    <a:off x="0" y="0"/>
                    <a:ext cx="6858000" cy="365760"/>
                  </a:xfrm>
                  <a:prstGeom prst="rect">
                    <a:avLst/>
                  </a:prstGeom>
                </pic:spPr>
              </pic:pic>
            </a:graphicData>
          </a:graphic>
        </wp:inline>
      </w:drawing>
    </w:r>
  </w:p>
  <w:p w14:paraId="5667388D" w14:textId="2A7013B9" w:rsidR="0003107C" w:rsidRPr="00881FDA" w:rsidRDefault="00D907A3" w:rsidP="00B20198">
    <w:pPr>
      <w:pStyle w:val="Footer"/>
      <w:ind w:left="-720" w:right="-720"/>
      <w:jc w:val="right"/>
      <w:rPr>
        <w:rStyle w:val="FooterChar"/>
      </w:rPr>
    </w:pPr>
    <w:r>
      <w:rPr>
        <w:rStyle w:val="FooterChar"/>
      </w:rPr>
      <w:t xml:space="preserve">Lantana Comments to NCVHS </w:t>
    </w:r>
    <w:r w:rsidR="00855342">
      <w:rPr>
        <w:rStyle w:val="FooterChar"/>
      </w:rPr>
      <w:t>Predictability</w:t>
    </w:r>
    <w:r>
      <w:rPr>
        <w:rStyle w:val="FooterChar"/>
      </w:rPr>
      <w:t xml:space="preserve"> </w:t>
    </w:r>
    <w:r w:rsidRPr="000F580C">
      <w:rPr>
        <w:rStyle w:val="FooterChar"/>
      </w:rPr>
      <w:t>Roadmap</w:t>
    </w:r>
    <w:r w:rsidR="0003107C" w:rsidRPr="000F580C">
      <w:rPr>
        <w:rStyle w:val="FooterChar"/>
      </w:rPr>
      <w:t xml:space="preserve"> / </w:t>
    </w:r>
    <w:proofErr w:type="gramStart"/>
    <w:r w:rsidR="000F580C" w:rsidRPr="000F580C">
      <w:rPr>
        <w:rStyle w:val="FooterChar"/>
      </w:rPr>
      <w:t>December</w:t>
    </w:r>
    <w:r w:rsidR="00B552FA">
      <w:rPr>
        <w:rStyle w:val="FooterChar"/>
      </w:rPr>
      <w:t>,</w:t>
    </w:r>
    <w:proofErr w:type="gramEnd"/>
    <w:r w:rsidR="000F580C" w:rsidRPr="000F580C">
      <w:rPr>
        <w:rStyle w:val="FooterChar"/>
      </w:rPr>
      <w:t xml:space="preserve"> 2018</w:t>
    </w:r>
  </w:p>
  <w:p w14:paraId="50F159A8" w14:textId="77777777" w:rsidR="0003107C" w:rsidRDefault="0003107C" w:rsidP="00B20198">
    <w:pPr>
      <w:pStyle w:val="Footer"/>
      <w:ind w:left="-720" w:right="-720"/>
      <w:jc w:val="center"/>
    </w:pPr>
    <w:r w:rsidRPr="00881FDA">
      <w:fldChar w:fldCharType="begin"/>
    </w:r>
    <w:r w:rsidRPr="00881FDA">
      <w:instrText xml:space="preserve"> PAGE   \* MERGEFORMAT </w:instrText>
    </w:r>
    <w:r w:rsidRPr="00881FDA">
      <w:fldChar w:fldCharType="separate"/>
    </w:r>
    <w:r>
      <w:rPr>
        <w:noProof/>
      </w:rPr>
      <w:t>5</w:t>
    </w:r>
    <w:r w:rsidRPr="00881FD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E973A" w14:textId="5360B349" w:rsidR="0003107C" w:rsidRPr="00283854" w:rsidRDefault="0003107C" w:rsidP="00B20198">
    <w:pPr>
      <w:pStyle w:val="Footer"/>
      <w:ind w:left="-720" w:right="-720"/>
    </w:pPr>
    <w:r w:rsidRPr="00283854">
      <w:rPr>
        <w:rStyle w:val="FooterChar"/>
        <w:sz w:val="16"/>
      </w:rPr>
      <w:t>©</w:t>
    </w:r>
    <w:r>
      <w:rPr>
        <w:rStyle w:val="FooterChar"/>
        <w:sz w:val="16"/>
      </w:rPr>
      <w:fldChar w:fldCharType="begin"/>
    </w:r>
    <w:r>
      <w:rPr>
        <w:rStyle w:val="FooterChar"/>
        <w:sz w:val="16"/>
      </w:rPr>
      <w:instrText xml:space="preserve"> SAVEDATE  \@ "yyyy"  \* MERGEFORMAT </w:instrText>
    </w:r>
    <w:r>
      <w:rPr>
        <w:rStyle w:val="FooterChar"/>
        <w:sz w:val="16"/>
      </w:rPr>
      <w:fldChar w:fldCharType="separate"/>
    </w:r>
    <w:r w:rsidR="004010A6">
      <w:rPr>
        <w:rStyle w:val="FooterChar"/>
        <w:noProof/>
        <w:sz w:val="16"/>
      </w:rPr>
      <w:t>2018</w:t>
    </w:r>
    <w:r>
      <w:rPr>
        <w:rStyle w:val="FooterChar"/>
        <w:sz w:val="16"/>
      </w:rPr>
      <w:fldChar w:fldCharType="end"/>
    </w:r>
    <w:r w:rsidRPr="00283854">
      <w:rPr>
        <w:rStyle w:val="FooterChar"/>
        <w:sz w:val="16"/>
      </w:rPr>
      <w:t xml:space="preserve"> Lantana Consulting Group</w:t>
    </w:r>
    <w:r>
      <w:rPr>
        <w:rStyle w:val="FooterChar"/>
        <w:sz w:val="16"/>
      </w:rPr>
      <w:t xml:space="preserve">. All rights reserved / </w:t>
    </w:r>
    <w:r w:rsidRPr="00283854">
      <w:rPr>
        <w:rStyle w:val="FooterChar"/>
        <w:sz w:val="16"/>
      </w:rPr>
      <w:t>www.lantanagroup.com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88C15" w14:textId="77777777" w:rsidR="008F2F42" w:rsidRDefault="008F2F42" w:rsidP="00FB76D9">
      <w:r>
        <w:separator/>
      </w:r>
    </w:p>
  </w:footnote>
  <w:footnote w:type="continuationSeparator" w:id="0">
    <w:p w14:paraId="076912A5" w14:textId="77777777" w:rsidR="008F2F42" w:rsidRPr="00E12BCB" w:rsidRDefault="008F2F42" w:rsidP="00E12BCB">
      <w:r>
        <w:separator/>
      </w:r>
    </w:p>
  </w:footnote>
  <w:footnote w:type="continuationNotice" w:id="1">
    <w:p w14:paraId="553711DD" w14:textId="77777777" w:rsidR="008F2F42" w:rsidRDefault="008F2F42" w:rsidP="00E12BCB">
      <w:pPr>
        <w:pStyle w:val="FootnoteText"/>
      </w:pPr>
      <w:r>
        <w:t>[continued]</w:t>
      </w:r>
    </w:p>
  </w:footnote>
  <w:footnote w:id="2">
    <w:p w14:paraId="7294C126" w14:textId="5C8920C4" w:rsidR="00185B69" w:rsidRDefault="009707AE" w:rsidP="007740A5">
      <w:pPr>
        <w:pStyle w:val="FootnoteText"/>
      </w:pPr>
      <w:r>
        <w:rPr>
          <w:rStyle w:val="FootnoteReference"/>
        </w:rPr>
        <w:footnoteRef/>
      </w:r>
      <w:r>
        <w:t xml:space="preserve"> </w:t>
      </w:r>
      <w:r w:rsidR="007A6CAD">
        <w:t xml:space="preserve">See </w:t>
      </w:r>
      <w:r w:rsidR="00271FAE">
        <w:t>our</w:t>
      </w:r>
      <w:r w:rsidR="00CC6272">
        <w:t xml:space="preserve"> </w:t>
      </w:r>
      <w:r w:rsidR="00EA61FE">
        <w:t xml:space="preserve">articles and </w:t>
      </w:r>
      <w:r w:rsidR="00271FAE">
        <w:t xml:space="preserve"> </w:t>
      </w:r>
      <w:r w:rsidR="007A6CAD">
        <w:t>blogs</w:t>
      </w:r>
      <w:r w:rsidR="001C092F">
        <w:t xml:space="preserve"> </w:t>
      </w:r>
      <w:r w:rsidR="007A6CAD">
        <w:t xml:space="preserve"> for examples of our implementation work: </w:t>
      </w:r>
    </w:p>
    <w:p w14:paraId="42180F88" w14:textId="77777777" w:rsidR="00123BBC" w:rsidRPr="00BF2957" w:rsidRDefault="00123BBC" w:rsidP="00123BBC">
      <w:pPr>
        <w:pStyle w:val="FootnoteText"/>
        <w:numPr>
          <w:ilvl w:val="0"/>
          <w:numId w:val="25"/>
        </w:numPr>
        <w:ind w:left="360"/>
      </w:pPr>
      <w:r w:rsidRPr="00BF2957">
        <w:t xml:space="preserve">Z. Gonzaga, EHR-Compatible Pharmacist Care Plan Standard Opens the Door to Cross-Setting Data Exchange, </w:t>
      </w:r>
      <w:r w:rsidRPr="00BF2957">
        <w:rPr>
          <w:i/>
        </w:rPr>
        <w:t>Healthcare Informatics</w:t>
      </w:r>
      <w:r w:rsidRPr="00BF2957">
        <w:t xml:space="preserve"> (9/14/2018). </w:t>
      </w:r>
      <w:hyperlink r:id="rId1" w:history="1">
        <w:r w:rsidRPr="00BF2957">
          <w:rPr>
            <w:rStyle w:val="Hyperlink"/>
          </w:rPr>
          <w:t>https://www.healthcare-informatics.com/article/interoperability/ehr-compatible-pharmacist-care-plan-standard-opens-door-cross-setting-data</w:t>
        </w:r>
      </w:hyperlink>
    </w:p>
    <w:p w14:paraId="47FC8A6D" w14:textId="409F1CEE" w:rsidR="00BF2957" w:rsidRPr="00BF2957" w:rsidRDefault="00BF2957" w:rsidP="00BF44CC">
      <w:pPr>
        <w:pStyle w:val="FootnoteText"/>
        <w:numPr>
          <w:ilvl w:val="0"/>
          <w:numId w:val="25"/>
        </w:numPr>
        <w:ind w:left="360"/>
        <w:rPr>
          <w:rStyle w:val="Hyperlink"/>
          <w:color w:val="auto"/>
          <w:u w:val="none"/>
        </w:rPr>
      </w:pPr>
      <w:r w:rsidRPr="00BF2957">
        <w:t xml:space="preserve">K. Sethi,“Reduce Provider Burden by Rethinking the eCQM Development Process,” Lantana Blog (11/14/2018). </w:t>
      </w:r>
      <w:hyperlink r:id="rId2" w:history="1">
        <w:r w:rsidRPr="00BF2957">
          <w:rPr>
            <w:rStyle w:val="Hyperlink"/>
          </w:rPr>
          <w:t>http://www.lantanagroup.com/2018/11/14/reduce-provider-burden-by-rethinking-the-ecqm-development-process/</w:t>
        </w:r>
      </w:hyperlink>
    </w:p>
    <w:p w14:paraId="646F667C" w14:textId="76A19AC5" w:rsidR="00B15067" w:rsidRPr="00BF2957" w:rsidRDefault="00BF2957" w:rsidP="00BF44CC">
      <w:pPr>
        <w:pStyle w:val="FootnoteText"/>
        <w:numPr>
          <w:ilvl w:val="0"/>
          <w:numId w:val="25"/>
        </w:numPr>
        <w:ind w:left="360"/>
      </w:pPr>
      <w:r w:rsidRPr="00BF2957">
        <w:t xml:space="preserve">S. </w:t>
      </w:r>
      <w:r w:rsidR="0016230C" w:rsidRPr="00BF2957">
        <w:t>McIlvenna</w:t>
      </w:r>
      <w:r w:rsidR="005C3E87" w:rsidRPr="00BF2957">
        <w:t xml:space="preserve">, </w:t>
      </w:r>
      <w:r w:rsidR="00E8591B" w:rsidRPr="00BF2957">
        <w:t xml:space="preserve">“Pleasant surprise with open-source development,” </w:t>
      </w:r>
      <w:r w:rsidRPr="00BF2957">
        <w:t xml:space="preserve">Lantana Blog (5/2/2018). </w:t>
      </w:r>
      <w:hyperlink r:id="rId3" w:history="1">
        <w:r w:rsidR="00E8591B" w:rsidRPr="00BF2957">
          <w:rPr>
            <w:rStyle w:val="Hyperlink"/>
          </w:rPr>
          <w:t>http://www.lantanagroup.com/2018/05/02/pleasant-surprise-with-open-source-module-development/</w:t>
        </w:r>
      </w:hyperlink>
    </w:p>
    <w:p w14:paraId="6AFFED26" w14:textId="316E7ED8" w:rsidR="004E022D" w:rsidRPr="00BF2957" w:rsidRDefault="00BF2957" w:rsidP="00BF44CC">
      <w:pPr>
        <w:pStyle w:val="FootnoteText"/>
        <w:numPr>
          <w:ilvl w:val="0"/>
          <w:numId w:val="25"/>
        </w:numPr>
        <w:ind w:left="360"/>
      </w:pPr>
      <w:r w:rsidRPr="00BF2957">
        <w:t xml:space="preserve">C. </w:t>
      </w:r>
      <w:r w:rsidR="00C065BB" w:rsidRPr="00BF2957">
        <w:t xml:space="preserve">Thompson, </w:t>
      </w:r>
      <w:r w:rsidR="006F44C3" w:rsidRPr="00BF2957">
        <w:t xml:space="preserve">“Reporting Into the Antimicrobial Use and Resistance (AUR) Module,” </w:t>
      </w:r>
      <w:r w:rsidRPr="00BF2957">
        <w:t xml:space="preserve">Lantana Blog (2/16/2018). </w:t>
      </w:r>
      <w:hyperlink r:id="rId4" w:history="1">
        <w:r w:rsidR="00DB029F" w:rsidRPr="00BF2957">
          <w:rPr>
            <w:rStyle w:val="Hyperlink"/>
          </w:rPr>
          <w:t>http://www.lantanagroup.com/2018/02/16/overcoming-reporting-challenges-with-the-antimicrobial-use-and-resistance-aur-module/</w:t>
        </w:r>
      </w:hyperlink>
      <w:r w:rsidR="007A6CAD" w:rsidRPr="00BF2957">
        <w:rPr>
          <w:rStyle w:val="Hyperlink"/>
        </w:rPr>
        <w:t xml:space="preserve"> </w:t>
      </w:r>
    </w:p>
    <w:p w14:paraId="65C15AD8" w14:textId="77B90C46" w:rsidR="004817C5" w:rsidRPr="00BF2957" w:rsidRDefault="00BF2957" w:rsidP="00BF44CC">
      <w:pPr>
        <w:pStyle w:val="FootnoteText"/>
        <w:numPr>
          <w:ilvl w:val="0"/>
          <w:numId w:val="25"/>
        </w:numPr>
        <w:ind w:left="360"/>
      </w:pPr>
      <w:r w:rsidRPr="00BF2957">
        <w:t xml:space="preserve">L. </w:t>
      </w:r>
      <w:r w:rsidR="00803157" w:rsidRPr="00BF2957">
        <w:t xml:space="preserve">Perrine, </w:t>
      </w:r>
      <w:r w:rsidR="00824651" w:rsidRPr="00BF2957">
        <w:t>“</w:t>
      </w:r>
      <w:r w:rsidR="005C1D7B" w:rsidRPr="00BF2957">
        <w:t>Notes from the Field</w:t>
      </w:r>
      <w:r w:rsidR="007551BD" w:rsidRPr="00BF2957">
        <w:t>,”</w:t>
      </w:r>
      <w:r w:rsidRPr="00BF2957">
        <w:t xml:space="preserve"> Lantana Blog (5/26/2017). </w:t>
      </w:r>
      <w:r w:rsidR="007551BD" w:rsidRPr="00BF2957">
        <w:t xml:space="preserve"> </w:t>
      </w:r>
      <w:hyperlink r:id="rId5" w:history="1">
        <w:r w:rsidR="00824651" w:rsidRPr="00BF2957">
          <w:rPr>
            <w:rStyle w:val="Hyperlink"/>
          </w:rPr>
          <w:t>http://www.lantanagroup.com/2017/05/26/notes-from-the-field/</w:t>
        </w:r>
      </w:hyperlink>
      <w:r w:rsidR="004817C5" w:rsidRPr="00BF2957">
        <w:rPr>
          <w:rStyle w:val="Hyperlink"/>
        </w:rPr>
        <w:t xml:space="preserve"> </w:t>
      </w:r>
    </w:p>
    <w:p w14:paraId="6B9ADC90" w14:textId="2963FE00" w:rsidR="0000271E" w:rsidRPr="00BF2957" w:rsidRDefault="00BF2957" w:rsidP="00BF44CC">
      <w:pPr>
        <w:pStyle w:val="FootnoteText"/>
        <w:numPr>
          <w:ilvl w:val="0"/>
          <w:numId w:val="25"/>
        </w:numPr>
        <w:ind w:left="360"/>
      </w:pPr>
      <w:r w:rsidRPr="00BF2957">
        <w:t xml:space="preserve">R. </w:t>
      </w:r>
      <w:r w:rsidR="0000271E" w:rsidRPr="00BF2957">
        <w:t>Geimer, “CDA in the Wild” series,</w:t>
      </w:r>
      <w:r w:rsidRPr="00BF2957">
        <w:t xml:space="preserve"> Lantana Blog (2016-17). </w:t>
      </w:r>
      <w:r w:rsidR="0000271E" w:rsidRPr="00BF2957">
        <w:t xml:space="preserve"> </w:t>
      </w:r>
      <w:hyperlink r:id="rId6" w:history="1">
        <w:r w:rsidR="0000271E" w:rsidRPr="00BF2957">
          <w:rPr>
            <w:rStyle w:val="Hyperlink"/>
          </w:rPr>
          <w:t>http://www.lantanagroup.com/tag/cdainthewild/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80EAD" w14:textId="77777777" w:rsidR="00B20198" w:rsidRDefault="00B20198" w:rsidP="00B20198">
    <w:pPr>
      <w:pStyle w:val="Header"/>
      <w:tabs>
        <w:tab w:val="clear" w:pos="4680"/>
        <w:tab w:val="clear" w:pos="9360"/>
      </w:tabs>
      <w:ind w:left="-720" w:right="-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5FAD1" w14:textId="77777777" w:rsidR="007043A8" w:rsidRDefault="007043A8" w:rsidP="00B20198">
    <w:pPr>
      <w:pStyle w:val="Header"/>
      <w:tabs>
        <w:tab w:val="clear" w:pos="4680"/>
        <w:tab w:val="clear" w:pos="9360"/>
      </w:tabs>
      <w:ind w:left="-720" w:right="-720"/>
    </w:pPr>
    <w:r>
      <w:rPr>
        <w:noProof/>
      </w:rPr>
      <w:drawing>
        <wp:inline distT="0" distB="0" distL="0" distR="0" wp14:anchorId="10C8F2A6" wp14:editId="6A71BF83">
          <wp:extent cx="6858000" cy="640080"/>
          <wp:effectExtent l="0" t="0" r="0" b="7620"/>
          <wp:docPr id="11" name="Picture 11" descr="Lantana Consulting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ntana_7.5 logo header.jpg"/>
                  <pic:cNvPicPr/>
                </pic:nvPicPr>
                <pic:blipFill>
                  <a:blip r:embed="rId1"/>
                  <a:stretch>
                    <a:fillRect/>
                  </a:stretch>
                </pic:blipFill>
                <pic:spPr>
                  <a:xfrm>
                    <a:off x="0" y="0"/>
                    <a:ext cx="6858000" cy="6400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A4CA28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6D6E07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45C3C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B10DB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27ACE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15692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0A4A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F16842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ECD4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C27C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374CE"/>
    <w:multiLevelType w:val="multilevel"/>
    <w:tmpl w:val="DBF4DE96"/>
    <w:lvl w:ilvl="0">
      <w:start w:val="1"/>
      <w:numFmt w:val="upperLetter"/>
      <w:pStyle w:val="Appendix1"/>
      <w:lvlText w:val="Appendix %1 - "/>
      <w:lvlJc w:val="left"/>
      <w:pPr>
        <w:ind w:left="432" w:hanging="432"/>
      </w:pPr>
      <w:rPr>
        <w:rFonts w:hint="default"/>
      </w:rPr>
    </w:lvl>
    <w:lvl w:ilvl="1">
      <w:start w:val="1"/>
      <w:numFmt w:val="decimal"/>
      <w:pStyle w:val="Appendix2"/>
      <w:lvlText w:val="%1.%2"/>
      <w:lvlJc w:val="left"/>
      <w:pPr>
        <w:ind w:left="576" w:hanging="576"/>
      </w:pPr>
      <w:rPr>
        <w:rFonts w:hint="default"/>
      </w:rPr>
    </w:lvl>
    <w:lvl w:ilvl="2">
      <w:start w:val="1"/>
      <w:numFmt w:val="decimal"/>
      <w:pStyle w:val="Appendix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BC10E59"/>
    <w:multiLevelType w:val="hybridMultilevel"/>
    <w:tmpl w:val="46965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DF6CC1"/>
    <w:multiLevelType w:val="hybridMultilevel"/>
    <w:tmpl w:val="E6B2C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3B110A"/>
    <w:multiLevelType w:val="hybridMultilevel"/>
    <w:tmpl w:val="BE0C4D2A"/>
    <w:lvl w:ilvl="0" w:tplc="B388EEF8">
      <w:start w:val="1"/>
      <w:numFmt w:val="decimal"/>
      <w:lvlText w:val="%1."/>
      <w:lvlJc w:val="left"/>
      <w:pPr>
        <w:tabs>
          <w:tab w:val="num" w:pos="360"/>
        </w:tabs>
        <w:ind w:left="360" w:hanging="360"/>
      </w:pPr>
    </w:lvl>
    <w:lvl w:ilvl="1" w:tplc="33B86B6C">
      <w:start w:val="1"/>
      <w:numFmt w:val="decimal"/>
      <w:lvlText w:val="%2."/>
      <w:lvlJc w:val="left"/>
      <w:pPr>
        <w:tabs>
          <w:tab w:val="num" w:pos="1080"/>
        </w:tabs>
        <w:ind w:left="1080" w:hanging="360"/>
      </w:pPr>
    </w:lvl>
    <w:lvl w:ilvl="2" w:tplc="991C40CE" w:tentative="1">
      <w:start w:val="1"/>
      <w:numFmt w:val="decimal"/>
      <w:lvlText w:val="%3."/>
      <w:lvlJc w:val="left"/>
      <w:pPr>
        <w:tabs>
          <w:tab w:val="num" w:pos="1800"/>
        </w:tabs>
        <w:ind w:left="1800" w:hanging="360"/>
      </w:pPr>
    </w:lvl>
    <w:lvl w:ilvl="3" w:tplc="76F61F08" w:tentative="1">
      <w:start w:val="1"/>
      <w:numFmt w:val="decimal"/>
      <w:lvlText w:val="%4."/>
      <w:lvlJc w:val="left"/>
      <w:pPr>
        <w:tabs>
          <w:tab w:val="num" w:pos="2520"/>
        </w:tabs>
        <w:ind w:left="2520" w:hanging="360"/>
      </w:pPr>
    </w:lvl>
    <w:lvl w:ilvl="4" w:tplc="E5CA10DA" w:tentative="1">
      <w:start w:val="1"/>
      <w:numFmt w:val="decimal"/>
      <w:lvlText w:val="%5."/>
      <w:lvlJc w:val="left"/>
      <w:pPr>
        <w:tabs>
          <w:tab w:val="num" w:pos="3240"/>
        </w:tabs>
        <w:ind w:left="3240" w:hanging="360"/>
      </w:pPr>
    </w:lvl>
    <w:lvl w:ilvl="5" w:tplc="D9148598" w:tentative="1">
      <w:start w:val="1"/>
      <w:numFmt w:val="decimal"/>
      <w:lvlText w:val="%6."/>
      <w:lvlJc w:val="left"/>
      <w:pPr>
        <w:tabs>
          <w:tab w:val="num" w:pos="3960"/>
        </w:tabs>
        <w:ind w:left="3960" w:hanging="360"/>
      </w:pPr>
    </w:lvl>
    <w:lvl w:ilvl="6" w:tplc="B3C888B4" w:tentative="1">
      <w:start w:val="1"/>
      <w:numFmt w:val="decimal"/>
      <w:lvlText w:val="%7."/>
      <w:lvlJc w:val="left"/>
      <w:pPr>
        <w:tabs>
          <w:tab w:val="num" w:pos="4680"/>
        </w:tabs>
        <w:ind w:left="4680" w:hanging="360"/>
      </w:pPr>
    </w:lvl>
    <w:lvl w:ilvl="7" w:tplc="F70E65EC" w:tentative="1">
      <w:start w:val="1"/>
      <w:numFmt w:val="decimal"/>
      <w:lvlText w:val="%8."/>
      <w:lvlJc w:val="left"/>
      <w:pPr>
        <w:tabs>
          <w:tab w:val="num" w:pos="5400"/>
        </w:tabs>
        <w:ind w:left="5400" w:hanging="360"/>
      </w:pPr>
    </w:lvl>
    <w:lvl w:ilvl="8" w:tplc="8BC20188" w:tentative="1">
      <w:start w:val="1"/>
      <w:numFmt w:val="decimal"/>
      <w:lvlText w:val="%9."/>
      <w:lvlJc w:val="left"/>
      <w:pPr>
        <w:tabs>
          <w:tab w:val="num" w:pos="6120"/>
        </w:tabs>
        <w:ind w:left="6120" w:hanging="360"/>
      </w:pPr>
    </w:lvl>
  </w:abstractNum>
  <w:abstractNum w:abstractNumId="14" w15:restartNumberingAfterBreak="0">
    <w:nsid w:val="21B83F3D"/>
    <w:multiLevelType w:val="hybridMultilevel"/>
    <w:tmpl w:val="B0923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DB5F9C"/>
    <w:multiLevelType w:val="hybridMultilevel"/>
    <w:tmpl w:val="83168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696A06"/>
    <w:multiLevelType w:val="hybridMultilevel"/>
    <w:tmpl w:val="58B6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46A6F"/>
    <w:multiLevelType w:val="hybridMultilevel"/>
    <w:tmpl w:val="C4A0E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EF37CC"/>
    <w:multiLevelType w:val="hybridMultilevel"/>
    <w:tmpl w:val="E9F88A6E"/>
    <w:lvl w:ilvl="0" w:tplc="CD5CC4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B85430"/>
    <w:multiLevelType w:val="hybridMultilevel"/>
    <w:tmpl w:val="C4E4E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AB0C04"/>
    <w:multiLevelType w:val="multilevel"/>
    <w:tmpl w:val="B232D0DC"/>
    <w:lvl w:ilvl="0">
      <w:start w:val="1"/>
      <w:numFmt w:val="bullet"/>
      <w:pStyle w:val="ListParagraph"/>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o"/>
      <w:lvlJc w:val="left"/>
      <w:pPr>
        <w:ind w:left="2160" w:hanging="360"/>
      </w:pPr>
      <w:rPr>
        <w:rFonts w:ascii="Courier New" w:hAnsi="Courier New"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1" w15:restartNumberingAfterBreak="0">
    <w:nsid w:val="4FC20078"/>
    <w:multiLevelType w:val="hybridMultilevel"/>
    <w:tmpl w:val="06D8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0B0A5D"/>
    <w:multiLevelType w:val="multilevel"/>
    <w:tmpl w:val="3C6A14BE"/>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o"/>
      <w:lvlJc w:val="left"/>
      <w:pPr>
        <w:ind w:left="2160" w:hanging="360"/>
      </w:pPr>
      <w:rPr>
        <w:rFonts w:ascii="Courier New" w:hAnsi="Courier New"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3" w15:restartNumberingAfterBreak="0">
    <w:nsid w:val="63394FF6"/>
    <w:multiLevelType w:val="multilevel"/>
    <w:tmpl w:val="C53E6718"/>
    <w:lvl w:ilvl="0">
      <w:start w:val="1"/>
      <w:numFmt w:val="decimal"/>
      <w:pStyle w:val="Heading2"/>
      <w:lvlText w:val="%1"/>
      <w:lvlJc w:val="left"/>
      <w:pPr>
        <w:ind w:left="432" w:hanging="432"/>
      </w:pPr>
      <w:rPr>
        <w:rFonts w:hint="default"/>
      </w:rPr>
    </w:lvl>
    <w:lvl w:ilvl="1">
      <w:start w:val="1"/>
      <w:numFmt w:val="decimal"/>
      <w:pStyle w:val="Heading3"/>
      <w:lvlText w:val="%1.%2"/>
      <w:lvlJc w:val="left"/>
      <w:pPr>
        <w:ind w:left="576" w:hanging="576"/>
      </w:pPr>
      <w:rPr>
        <w:rFonts w:hint="default"/>
      </w:rPr>
    </w:lvl>
    <w:lvl w:ilvl="2">
      <w:start w:val="1"/>
      <w:numFmt w:val="decimal"/>
      <w:pStyle w:val="Heading4"/>
      <w:lvlText w:val="%1.%2.%3"/>
      <w:lvlJc w:val="left"/>
      <w:pPr>
        <w:ind w:left="720" w:hanging="720"/>
      </w:pPr>
      <w:rPr>
        <w:rFonts w:hint="default"/>
      </w:rPr>
    </w:lvl>
    <w:lvl w:ilvl="3">
      <w:start w:val="1"/>
      <w:numFmt w:val="decimal"/>
      <w:pStyle w:val="Heading5"/>
      <w:lvlText w:val="%1.%2.%3.%4"/>
      <w:lvlJc w:val="left"/>
      <w:pPr>
        <w:ind w:left="864" w:hanging="864"/>
      </w:pPr>
      <w:rPr>
        <w:rFonts w:hint="default"/>
      </w:rPr>
    </w:lvl>
    <w:lvl w:ilvl="4">
      <w:start w:val="1"/>
      <w:numFmt w:val="decimal"/>
      <w:pStyle w:val="Heading6"/>
      <w:lvlText w:val="%1.%2.%3.%4.%5"/>
      <w:lvlJc w:val="left"/>
      <w:pPr>
        <w:ind w:left="1008" w:hanging="1008"/>
      </w:pPr>
      <w:rPr>
        <w:rFonts w:hint="default"/>
      </w:rPr>
    </w:lvl>
    <w:lvl w:ilvl="5">
      <w:start w:val="1"/>
      <w:numFmt w:val="decimal"/>
      <w:pStyle w:val="Heading7"/>
      <w:lvlText w:val="%1.%2.%3.%4.%5.%6"/>
      <w:lvlJc w:val="left"/>
      <w:pPr>
        <w:ind w:left="1152" w:hanging="1152"/>
      </w:pPr>
      <w:rPr>
        <w:rFonts w:hint="default"/>
      </w:rPr>
    </w:lvl>
    <w:lvl w:ilvl="6">
      <w:start w:val="1"/>
      <w:numFmt w:val="decimal"/>
      <w:pStyle w:val="Heading8"/>
      <w:lvlText w:val="%1.%2.%3.%4.%5.%6.%7"/>
      <w:lvlJc w:val="left"/>
      <w:pPr>
        <w:ind w:left="1296" w:hanging="1296"/>
      </w:pPr>
      <w:rPr>
        <w:rFonts w:hint="default"/>
      </w:rPr>
    </w:lvl>
    <w:lvl w:ilvl="7">
      <w:start w:val="1"/>
      <w:numFmt w:val="decimal"/>
      <w:pStyle w:val="Heading9"/>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BDD598E"/>
    <w:multiLevelType w:val="multilevel"/>
    <w:tmpl w:val="360CCE42"/>
    <w:lvl w:ilvl="0">
      <w:start w:val="1"/>
      <w:numFmt w:val="upperLetter"/>
      <w:lvlText w:val="Appendix %1 - "/>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0"/>
  </w:num>
  <w:num w:numId="2">
    <w:abstractNumId w:val="19"/>
  </w:num>
  <w:num w:numId="3">
    <w:abstractNumId w:val="17"/>
  </w:num>
  <w:num w:numId="4">
    <w:abstractNumId w:val="12"/>
  </w:num>
  <w:num w:numId="5">
    <w:abstractNumId w:val="24"/>
  </w:num>
  <w:num w:numId="6">
    <w:abstractNumId w:val="10"/>
  </w:num>
  <w:num w:numId="7">
    <w:abstractNumId w:val="23"/>
    <w:lvlOverride w:ilvl="0">
      <w:lvl w:ilvl="0">
        <w:start w:val="1"/>
        <w:numFmt w:val="decimal"/>
        <w:pStyle w:val="Heading2"/>
        <w:lvlText w:val="%1"/>
        <w:lvlJc w:val="left"/>
        <w:pPr>
          <w:ind w:left="432" w:hanging="432"/>
        </w:pPr>
        <w:rPr>
          <w:rFonts w:hint="default"/>
        </w:rPr>
      </w:lvl>
    </w:lvlOverride>
    <w:lvlOverride w:ilvl="1">
      <w:lvl w:ilvl="1">
        <w:start w:val="1"/>
        <w:numFmt w:val="decimal"/>
        <w:pStyle w:val="Heading3"/>
        <w:lvlText w:val="%1.%2"/>
        <w:lvlJc w:val="left"/>
        <w:pPr>
          <w:ind w:left="576" w:hanging="576"/>
        </w:pPr>
        <w:rPr>
          <w:rFonts w:hint="default"/>
        </w:rPr>
      </w:lvl>
    </w:lvlOverride>
    <w:lvlOverride w:ilvl="2">
      <w:lvl w:ilvl="2">
        <w:start w:val="1"/>
        <w:numFmt w:val="decimal"/>
        <w:pStyle w:val="Heading4"/>
        <w:lvlText w:val="%1.%2.%3"/>
        <w:lvlJc w:val="left"/>
        <w:pPr>
          <w:ind w:left="720" w:hanging="720"/>
        </w:pPr>
        <w:rPr>
          <w:rFonts w:hint="default"/>
        </w:rPr>
      </w:lvl>
    </w:lvlOverride>
    <w:lvlOverride w:ilvl="3">
      <w:lvl w:ilvl="3">
        <w:start w:val="1"/>
        <w:numFmt w:val="decimal"/>
        <w:pStyle w:val="Heading5"/>
        <w:lvlText w:val="%1.%2.%3.%4"/>
        <w:lvlJc w:val="left"/>
        <w:pPr>
          <w:ind w:left="864" w:hanging="864"/>
        </w:pPr>
        <w:rPr>
          <w:rFonts w:hint="default"/>
        </w:rPr>
      </w:lvl>
    </w:lvlOverride>
    <w:lvlOverride w:ilvl="4">
      <w:lvl w:ilvl="4">
        <w:start w:val="1"/>
        <w:numFmt w:val="decimal"/>
        <w:pStyle w:val="Heading6"/>
        <w:lvlText w:val="%1.%2.%3.%4.%5"/>
        <w:lvlJc w:val="left"/>
        <w:pPr>
          <w:ind w:left="1008" w:hanging="1008"/>
        </w:pPr>
        <w:rPr>
          <w:rFonts w:hint="default"/>
        </w:rPr>
      </w:lvl>
    </w:lvlOverride>
    <w:lvlOverride w:ilvl="5">
      <w:lvl w:ilvl="5">
        <w:start w:val="1"/>
        <w:numFmt w:val="decimal"/>
        <w:pStyle w:val="Heading7"/>
        <w:lvlText w:val="%1.%2.%3.%4.%5.%6"/>
        <w:lvlJc w:val="left"/>
        <w:pPr>
          <w:ind w:left="1152" w:hanging="1152"/>
        </w:pPr>
        <w:rPr>
          <w:rFonts w:hint="default"/>
        </w:rPr>
      </w:lvl>
    </w:lvlOverride>
    <w:lvlOverride w:ilvl="6">
      <w:lvl w:ilvl="6">
        <w:start w:val="1"/>
        <w:numFmt w:val="none"/>
        <w:pStyle w:val="Heading8"/>
        <w:lvlText w:val="%1.%2.%3.%4.%5.%6."/>
        <w:lvlJc w:val="left"/>
        <w:pPr>
          <w:ind w:left="1440" w:hanging="144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7">
      <w:lvl w:ilvl="7">
        <w:start w:val="1"/>
        <w:numFmt w:val="none"/>
        <w:pStyle w:val="Heading9"/>
        <w:lvlText w:val="%1.%2.%3.%4.%5.%6%7."/>
        <w:lvlJc w:val="left"/>
        <w:pPr>
          <w:ind w:left="1440" w:hanging="1440"/>
        </w:pPr>
        <w:rPr>
          <w:rFonts w:hint="default"/>
        </w:rPr>
      </w:lvl>
    </w:lvlOverride>
    <w:lvlOverride w:ilvl="8">
      <w:lvl w:ilvl="8">
        <w:start w:val="1"/>
        <w:numFmt w:val="none"/>
        <w:lvlText w:val=""/>
        <w:lvlJc w:val="left"/>
        <w:pPr>
          <w:ind w:left="1584" w:hanging="1584"/>
        </w:pPr>
        <w:rPr>
          <w:rFonts w:hint="default"/>
        </w:rPr>
      </w:lvl>
    </w:lvlOverride>
  </w:num>
  <w:num w:numId="8">
    <w:abstractNumId w:val="23"/>
  </w:num>
  <w:num w:numId="9">
    <w:abstractNumId w:val="14"/>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num>
  <w:num w:numId="21">
    <w:abstractNumId w:val="13"/>
  </w:num>
  <w:num w:numId="22">
    <w:abstractNumId w:val="18"/>
  </w:num>
  <w:num w:numId="23">
    <w:abstractNumId w:val="21"/>
  </w:num>
  <w:num w:numId="24">
    <w:abstractNumId w:val="15"/>
  </w:num>
  <w:num w:numId="25">
    <w:abstractNumId w:val="16"/>
  </w:num>
  <w:num w:numId="26">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BA0"/>
    <w:rsid w:val="000018E4"/>
    <w:rsid w:val="000020CD"/>
    <w:rsid w:val="0000271E"/>
    <w:rsid w:val="000068D7"/>
    <w:rsid w:val="00017575"/>
    <w:rsid w:val="0002170C"/>
    <w:rsid w:val="00021B51"/>
    <w:rsid w:val="00023AD4"/>
    <w:rsid w:val="000245AD"/>
    <w:rsid w:val="0003107C"/>
    <w:rsid w:val="00040D74"/>
    <w:rsid w:val="00041F63"/>
    <w:rsid w:val="0004367F"/>
    <w:rsid w:val="00043A68"/>
    <w:rsid w:val="00043F42"/>
    <w:rsid w:val="0004447A"/>
    <w:rsid w:val="000447AF"/>
    <w:rsid w:val="00045578"/>
    <w:rsid w:val="000460C4"/>
    <w:rsid w:val="00052947"/>
    <w:rsid w:val="00054329"/>
    <w:rsid w:val="00057CE5"/>
    <w:rsid w:val="00060506"/>
    <w:rsid w:val="00060515"/>
    <w:rsid w:val="00062AB1"/>
    <w:rsid w:val="00066E61"/>
    <w:rsid w:val="00073AC9"/>
    <w:rsid w:val="000746F3"/>
    <w:rsid w:val="00075C61"/>
    <w:rsid w:val="00076C25"/>
    <w:rsid w:val="00082E54"/>
    <w:rsid w:val="00085AF5"/>
    <w:rsid w:val="0009126A"/>
    <w:rsid w:val="000929C5"/>
    <w:rsid w:val="00093329"/>
    <w:rsid w:val="00094331"/>
    <w:rsid w:val="00096900"/>
    <w:rsid w:val="000A0103"/>
    <w:rsid w:val="000A19C5"/>
    <w:rsid w:val="000A69C5"/>
    <w:rsid w:val="000B021B"/>
    <w:rsid w:val="000C7749"/>
    <w:rsid w:val="000D4549"/>
    <w:rsid w:val="000D5190"/>
    <w:rsid w:val="000D58D0"/>
    <w:rsid w:val="000D7061"/>
    <w:rsid w:val="000D733D"/>
    <w:rsid w:val="000E418B"/>
    <w:rsid w:val="000E4342"/>
    <w:rsid w:val="000E503B"/>
    <w:rsid w:val="000E748A"/>
    <w:rsid w:val="000F2170"/>
    <w:rsid w:val="000F48D9"/>
    <w:rsid w:val="000F580C"/>
    <w:rsid w:val="00101305"/>
    <w:rsid w:val="00104B9E"/>
    <w:rsid w:val="00105982"/>
    <w:rsid w:val="00107B2B"/>
    <w:rsid w:val="00117912"/>
    <w:rsid w:val="00123BBC"/>
    <w:rsid w:val="00124C01"/>
    <w:rsid w:val="00124F69"/>
    <w:rsid w:val="00126455"/>
    <w:rsid w:val="00132150"/>
    <w:rsid w:val="00133CF2"/>
    <w:rsid w:val="00133E20"/>
    <w:rsid w:val="00134050"/>
    <w:rsid w:val="001366CA"/>
    <w:rsid w:val="00136B26"/>
    <w:rsid w:val="001376C0"/>
    <w:rsid w:val="00146728"/>
    <w:rsid w:val="00146A0F"/>
    <w:rsid w:val="00147898"/>
    <w:rsid w:val="001500ED"/>
    <w:rsid w:val="00152C43"/>
    <w:rsid w:val="00156F4D"/>
    <w:rsid w:val="001574D7"/>
    <w:rsid w:val="0016230C"/>
    <w:rsid w:val="001628EF"/>
    <w:rsid w:val="00173055"/>
    <w:rsid w:val="0017379E"/>
    <w:rsid w:val="00177CF4"/>
    <w:rsid w:val="00184BA8"/>
    <w:rsid w:val="00185B69"/>
    <w:rsid w:val="00186E4D"/>
    <w:rsid w:val="00187A77"/>
    <w:rsid w:val="00193967"/>
    <w:rsid w:val="00194071"/>
    <w:rsid w:val="001A23AB"/>
    <w:rsid w:val="001A3BA4"/>
    <w:rsid w:val="001A45E8"/>
    <w:rsid w:val="001B6C98"/>
    <w:rsid w:val="001B7434"/>
    <w:rsid w:val="001B75B9"/>
    <w:rsid w:val="001C092F"/>
    <w:rsid w:val="001C0C55"/>
    <w:rsid w:val="001C4A1A"/>
    <w:rsid w:val="001C6562"/>
    <w:rsid w:val="001D6B95"/>
    <w:rsid w:val="001E0592"/>
    <w:rsid w:val="001E1D67"/>
    <w:rsid w:val="001E1E73"/>
    <w:rsid w:val="001E68B7"/>
    <w:rsid w:val="001F4810"/>
    <w:rsid w:val="002000BE"/>
    <w:rsid w:val="0020074F"/>
    <w:rsid w:val="00200CBE"/>
    <w:rsid w:val="00205A55"/>
    <w:rsid w:val="00212D4C"/>
    <w:rsid w:val="00213A1D"/>
    <w:rsid w:val="00216A1B"/>
    <w:rsid w:val="00220876"/>
    <w:rsid w:val="0022156E"/>
    <w:rsid w:val="00222742"/>
    <w:rsid w:val="0022333F"/>
    <w:rsid w:val="00224E09"/>
    <w:rsid w:val="002300D2"/>
    <w:rsid w:val="002366D0"/>
    <w:rsid w:val="002367AA"/>
    <w:rsid w:val="002409E2"/>
    <w:rsid w:val="002462EC"/>
    <w:rsid w:val="002479F1"/>
    <w:rsid w:val="00253762"/>
    <w:rsid w:val="00257357"/>
    <w:rsid w:val="00260B05"/>
    <w:rsid w:val="002615B1"/>
    <w:rsid w:val="00261B3D"/>
    <w:rsid w:val="00263605"/>
    <w:rsid w:val="00264312"/>
    <w:rsid w:val="00264A79"/>
    <w:rsid w:val="00266427"/>
    <w:rsid w:val="00270E93"/>
    <w:rsid w:val="00271E94"/>
    <w:rsid w:val="00271FAE"/>
    <w:rsid w:val="00276273"/>
    <w:rsid w:val="00276977"/>
    <w:rsid w:val="002824B0"/>
    <w:rsid w:val="00283854"/>
    <w:rsid w:val="00283CB7"/>
    <w:rsid w:val="00283EBC"/>
    <w:rsid w:val="002871FC"/>
    <w:rsid w:val="0029092B"/>
    <w:rsid w:val="00291185"/>
    <w:rsid w:val="0029554B"/>
    <w:rsid w:val="002A2CB6"/>
    <w:rsid w:val="002A3D4D"/>
    <w:rsid w:val="002A607C"/>
    <w:rsid w:val="002A6B58"/>
    <w:rsid w:val="002B52CB"/>
    <w:rsid w:val="002C0542"/>
    <w:rsid w:val="002C7A85"/>
    <w:rsid w:val="002D2FDA"/>
    <w:rsid w:val="002D69D2"/>
    <w:rsid w:val="002E1A3E"/>
    <w:rsid w:val="002E1B3A"/>
    <w:rsid w:val="002E52EA"/>
    <w:rsid w:val="002E54B7"/>
    <w:rsid w:val="002E6196"/>
    <w:rsid w:val="002F0016"/>
    <w:rsid w:val="002F072F"/>
    <w:rsid w:val="002F10C2"/>
    <w:rsid w:val="002F13A8"/>
    <w:rsid w:val="002F28C9"/>
    <w:rsid w:val="002F2EEB"/>
    <w:rsid w:val="002F3B56"/>
    <w:rsid w:val="002F4FD2"/>
    <w:rsid w:val="002F57B0"/>
    <w:rsid w:val="00302205"/>
    <w:rsid w:val="00303EDA"/>
    <w:rsid w:val="003076DC"/>
    <w:rsid w:val="0031069B"/>
    <w:rsid w:val="00311692"/>
    <w:rsid w:val="003118DC"/>
    <w:rsid w:val="00316A3D"/>
    <w:rsid w:val="00321AC5"/>
    <w:rsid w:val="00334270"/>
    <w:rsid w:val="00335C80"/>
    <w:rsid w:val="0033627D"/>
    <w:rsid w:val="00342AD6"/>
    <w:rsid w:val="00342F41"/>
    <w:rsid w:val="00345538"/>
    <w:rsid w:val="00351FF4"/>
    <w:rsid w:val="0035421E"/>
    <w:rsid w:val="003544EC"/>
    <w:rsid w:val="00362A56"/>
    <w:rsid w:val="003636B1"/>
    <w:rsid w:val="00366C88"/>
    <w:rsid w:val="00367149"/>
    <w:rsid w:val="00371D88"/>
    <w:rsid w:val="00382F74"/>
    <w:rsid w:val="00385551"/>
    <w:rsid w:val="0039043F"/>
    <w:rsid w:val="003915B8"/>
    <w:rsid w:val="00393857"/>
    <w:rsid w:val="003A20BE"/>
    <w:rsid w:val="003A2436"/>
    <w:rsid w:val="003A47E9"/>
    <w:rsid w:val="003A5570"/>
    <w:rsid w:val="003A587A"/>
    <w:rsid w:val="003B0286"/>
    <w:rsid w:val="003B0DF0"/>
    <w:rsid w:val="003B1913"/>
    <w:rsid w:val="003B2A9B"/>
    <w:rsid w:val="003B2B0F"/>
    <w:rsid w:val="003B3BC1"/>
    <w:rsid w:val="003B43CA"/>
    <w:rsid w:val="003B6545"/>
    <w:rsid w:val="003B6D34"/>
    <w:rsid w:val="003B7020"/>
    <w:rsid w:val="003C0E47"/>
    <w:rsid w:val="003D4C9E"/>
    <w:rsid w:val="003D4D4C"/>
    <w:rsid w:val="003E1FE5"/>
    <w:rsid w:val="003E2D56"/>
    <w:rsid w:val="003E3B38"/>
    <w:rsid w:val="003E4150"/>
    <w:rsid w:val="003E5230"/>
    <w:rsid w:val="003E7AB4"/>
    <w:rsid w:val="003F1365"/>
    <w:rsid w:val="003F1BA0"/>
    <w:rsid w:val="003F3BD3"/>
    <w:rsid w:val="003F5D70"/>
    <w:rsid w:val="003F6C21"/>
    <w:rsid w:val="004010A6"/>
    <w:rsid w:val="0040460B"/>
    <w:rsid w:val="004046B5"/>
    <w:rsid w:val="00405D8E"/>
    <w:rsid w:val="00407F59"/>
    <w:rsid w:val="00414578"/>
    <w:rsid w:val="004200F4"/>
    <w:rsid w:val="004207A7"/>
    <w:rsid w:val="00420E55"/>
    <w:rsid w:val="00421889"/>
    <w:rsid w:val="004221AF"/>
    <w:rsid w:val="00427594"/>
    <w:rsid w:val="00444B59"/>
    <w:rsid w:val="00445390"/>
    <w:rsid w:val="0044653D"/>
    <w:rsid w:val="00452B25"/>
    <w:rsid w:val="00454F09"/>
    <w:rsid w:val="00461770"/>
    <w:rsid w:val="00461DB8"/>
    <w:rsid w:val="00465100"/>
    <w:rsid w:val="004668E1"/>
    <w:rsid w:val="004701E9"/>
    <w:rsid w:val="0047194C"/>
    <w:rsid w:val="00472610"/>
    <w:rsid w:val="00474935"/>
    <w:rsid w:val="004762BC"/>
    <w:rsid w:val="004817C5"/>
    <w:rsid w:val="004872EC"/>
    <w:rsid w:val="00491503"/>
    <w:rsid w:val="00495272"/>
    <w:rsid w:val="004A077C"/>
    <w:rsid w:val="004A0C9E"/>
    <w:rsid w:val="004A0EC8"/>
    <w:rsid w:val="004A3E1C"/>
    <w:rsid w:val="004A4948"/>
    <w:rsid w:val="004A4B1A"/>
    <w:rsid w:val="004A52DA"/>
    <w:rsid w:val="004A5AF5"/>
    <w:rsid w:val="004B11B0"/>
    <w:rsid w:val="004B3E2D"/>
    <w:rsid w:val="004B7FF9"/>
    <w:rsid w:val="004C2113"/>
    <w:rsid w:val="004C313C"/>
    <w:rsid w:val="004C47D5"/>
    <w:rsid w:val="004C502B"/>
    <w:rsid w:val="004D00F2"/>
    <w:rsid w:val="004D04B7"/>
    <w:rsid w:val="004D2197"/>
    <w:rsid w:val="004D39BA"/>
    <w:rsid w:val="004D5606"/>
    <w:rsid w:val="004E022D"/>
    <w:rsid w:val="004E0F43"/>
    <w:rsid w:val="004E4F8F"/>
    <w:rsid w:val="004F0B27"/>
    <w:rsid w:val="004F5B04"/>
    <w:rsid w:val="00502171"/>
    <w:rsid w:val="00502A5A"/>
    <w:rsid w:val="00502EC3"/>
    <w:rsid w:val="00507F2C"/>
    <w:rsid w:val="00512B58"/>
    <w:rsid w:val="0051346A"/>
    <w:rsid w:val="00514E8C"/>
    <w:rsid w:val="005165FD"/>
    <w:rsid w:val="00516BCE"/>
    <w:rsid w:val="0052133F"/>
    <w:rsid w:val="005231E9"/>
    <w:rsid w:val="005233EA"/>
    <w:rsid w:val="00526BCE"/>
    <w:rsid w:val="00530D08"/>
    <w:rsid w:val="00533725"/>
    <w:rsid w:val="005403B0"/>
    <w:rsid w:val="00547122"/>
    <w:rsid w:val="00552C50"/>
    <w:rsid w:val="00557CFE"/>
    <w:rsid w:val="005609E8"/>
    <w:rsid w:val="005612B0"/>
    <w:rsid w:val="00570C64"/>
    <w:rsid w:val="00570DF4"/>
    <w:rsid w:val="005710FD"/>
    <w:rsid w:val="00573667"/>
    <w:rsid w:val="00575960"/>
    <w:rsid w:val="00580F3A"/>
    <w:rsid w:val="005813CC"/>
    <w:rsid w:val="005838C0"/>
    <w:rsid w:val="005904C6"/>
    <w:rsid w:val="0059194B"/>
    <w:rsid w:val="00592170"/>
    <w:rsid w:val="00593836"/>
    <w:rsid w:val="005957DF"/>
    <w:rsid w:val="005A064B"/>
    <w:rsid w:val="005A0D85"/>
    <w:rsid w:val="005A44D5"/>
    <w:rsid w:val="005A6665"/>
    <w:rsid w:val="005B12B8"/>
    <w:rsid w:val="005C1D7B"/>
    <w:rsid w:val="005C279D"/>
    <w:rsid w:val="005C3771"/>
    <w:rsid w:val="005C3E87"/>
    <w:rsid w:val="005C67BA"/>
    <w:rsid w:val="005C726E"/>
    <w:rsid w:val="005D05A1"/>
    <w:rsid w:val="005D0AA9"/>
    <w:rsid w:val="005D1F0C"/>
    <w:rsid w:val="005E027B"/>
    <w:rsid w:val="005E4D95"/>
    <w:rsid w:val="005F17B6"/>
    <w:rsid w:val="005F5AA7"/>
    <w:rsid w:val="005F7747"/>
    <w:rsid w:val="0060663F"/>
    <w:rsid w:val="006114EC"/>
    <w:rsid w:val="006114FF"/>
    <w:rsid w:val="0061175F"/>
    <w:rsid w:val="006118D6"/>
    <w:rsid w:val="00616561"/>
    <w:rsid w:val="0061672E"/>
    <w:rsid w:val="00616924"/>
    <w:rsid w:val="00625150"/>
    <w:rsid w:val="00625BEF"/>
    <w:rsid w:val="00631764"/>
    <w:rsid w:val="00631DE1"/>
    <w:rsid w:val="00634FEB"/>
    <w:rsid w:val="00635F25"/>
    <w:rsid w:val="006368F9"/>
    <w:rsid w:val="0064349D"/>
    <w:rsid w:val="00643A2B"/>
    <w:rsid w:val="00650DD1"/>
    <w:rsid w:val="006522A8"/>
    <w:rsid w:val="00652B7D"/>
    <w:rsid w:val="00652DFB"/>
    <w:rsid w:val="00654B13"/>
    <w:rsid w:val="00656DED"/>
    <w:rsid w:val="006605EB"/>
    <w:rsid w:val="00662151"/>
    <w:rsid w:val="006724AE"/>
    <w:rsid w:val="00672BCF"/>
    <w:rsid w:val="0067326E"/>
    <w:rsid w:val="00675356"/>
    <w:rsid w:val="00675871"/>
    <w:rsid w:val="00677DC0"/>
    <w:rsid w:val="006844E3"/>
    <w:rsid w:val="00691A9C"/>
    <w:rsid w:val="00693EF4"/>
    <w:rsid w:val="006966BB"/>
    <w:rsid w:val="006A73A1"/>
    <w:rsid w:val="006B08B1"/>
    <w:rsid w:val="006B2A56"/>
    <w:rsid w:val="006B312C"/>
    <w:rsid w:val="006B6CE8"/>
    <w:rsid w:val="006B7083"/>
    <w:rsid w:val="006C549C"/>
    <w:rsid w:val="006C6012"/>
    <w:rsid w:val="006C72D5"/>
    <w:rsid w:val="006D1DFD"/>
    <w:rsid w:val="006D3349"/>
    <w:rsid w:val="006D386D"/>
    <w:rsid w:val="006E117A"/>
    <w:rsid w:val="006E34E7"/>
    <w:rsid w:val="006E5600"/>
    <w:rsid w:val="006F2AD7"/>
    <w:rsid w:val="006F32D7"/>
    <w:rsid w:val="006F39F2"/>
    <w:rsid w:val="006F44C3"/>
    <w:rsid w:val="006F51FC"/>
    <w:rsid w:val="006F6684"/>
    <w:rsid w:val="006F6D10"/>
    <w:rsid w:val="006F6F76"/>
    <w:rsid w:val="00702A00"/>
    <w:rsid w:val="00702E69"/>
    <w:rsid w:val="0070393F"/>
    <w:rsid w:val="0070439A"/>
    <w:rsid w:val="007043A8"/>
    <w:rsid w:val="00706854"/>
    <w:rsid w:val="00712BBE"/>
    <w:rsid w:val="00713E78"/>
    <w:rsid w:val="00715659"/>
    <w:rsid w:val="007201F1"/>
    <w:rsid w:val="00724B77"/>
    <w:rsid w:val="0072660E"/>
    <w:rsid w:val="007335A2"/>
    <w:rsid w:val="007363DC"/>
    <w:rsid w:val="0074102C"/>
    <w:rsid w:val="00742C19"/>
    <w:rsid w:val="0074377C"/>
    <w:rsid w:val="007442ED"/>
    <w:rsid w:val="00754372"/>
    <w:rsid w:val="007551BD"/>
    <w:rsid w:val="007603CA"/>
    <w:rsid w:val="00760812"/>
    <w:rsid w:val="007609A1"/>
    <w:rsid w:val="007640EA"/>
    <w:rsid w:val="00765264"/>
    <w:rsid w:val="00773A0D"/>
    <w:rsid w:val="007740A5"/>
    <w:rsid w:val="007835BC"/>
    <w:rsid w:val="00786C1D"/>
    <w:rsid w:val="00797987"/>
    <w:rsid w:val="007A1D2E"/>
    <w:rsid w:val="007A3284"/>
    <w:rsid w:val="007A4FDF"/>
    <w:rsid w:val="007A656E"/>
    <w:rsid w:val="007A6CAD"/>
    <w:rsid w:val="007A6CFF"/>
    <w:rsid w:val="007A7DEF"/>
    <w:rsid w:val="007B2D9B"/>
    <w:rsid w:val="007B349C"/>
    <w:rsid w:val="007B6AF5"/>
    <w:rsid w:val="007B7EA3"/>
    <w:rsid w:val="007C524E"/>
    <w:rsid w:val="007C5709"/>
    <w:rsid w:val="007C5C66"/>
    <w:rsid w:val="007C6082"/>
    <w:rsid w:val="007C72D2"/>
    <w:rsid w:val="007C778A"/>
    <w:rsid w:val="007D045B"/>
    <w:rsid w:val="007D5025"/>
    <w:rsid w:val="007D7B5E"/>
    <w:rsid w:val="007E046C"/>
    <w:rsid w:val="007F051B"/>
    <w:rsid w:val="007F0682"/>
    <w:rsid w:val="007F2CBD"/>
    <w:rsid w:val="00803157"/>
    <w:rsid w:val="00805D25"/>
    <w:rsid w:val="00815DCE"/>
    <w:rsid w:val="00817148"/>
    <w:rsid w:val="0082047F"/>
    <w:rsid w:val="00822A58"/>
    <w:rsid w:val="00823774"/>
    <w:rsid w:val="00824651"/>
    <w:rsid w:val="00826926"/>
    <w:rsid w:val="008320A1"/>
    <w:rsid w:val="0083352F"/>
    <w:rsid w:val="008340F8"/>
    <w:rsid w:val="0083692B"/>
    <w:rsid w:val="008377F1"/>
    <w:rsid w:val="0084048D"/>
    <w:rsid w:val="00842525"/>
    <w:rsid w:val="008508E0"/>
    <w:rsid w:val="00851D4A"/>
    <w:rsid w:val="008520D5"/>
    <w:rsid w:val="00855342"/>
    <w:rsid w:val="00857ACA"/>
    <w:rsid w:val="00857CDE"/>
    <w:rsid w:val="00863654"/>
    <w:rsid w:val="00865411"/>
    <w:rsid w:val="008720B1"/>
    <w:rsid w:val="008739E4"/>
    <w:rsid w:val="00877D87"/>
    <w:rsid w:val="00881FDA"/>
    <w:rsid w:val="00882FAE"/>
    <w:rsid w:val="00886191"/>
    <w:rsid w:val="00886EC2"/>
    <w:rsid w:val="008871EA"/>
    <w:rsid w:val="0089324B"/>
    <w:rsid w:val="00895BF7"/>
    <w:rsid w:val="00896102"/>
    <w:rsid w:val="00896DC5"/>
    <w:rsid w:val="008A2619"/>
    <w:rsid w:val="008A4ECA"/>
    <w:rsid w:val="008A7A13"/>
    <w:rsid w:val="008C12F2"/>
    <w:rsid w:val="008C56A2"/>
    <w:rsid w:val="008D01DB"/>
    <w:rsid w:val="008D09DA"/>
    <w:rsid w:val="008D2D58"/>
    <w:rsid w:val="008D4CE0"/>
    <w:rsid w:val="008E1B68"/>
    <w:rsid w:val="008F2F42"/>
    <w:rsid w:val="00903E8B"/>
    <w:rsid w:val="009042C8"/>
    <w:rsid w:val="00907F17"/>
    <w:rsid w:val="0091344E"/>
    <w:rsid w:val="00916A41"/>
    <w:rsid w:val="00917E65"/>
    <w:rsid w:val="00920D8E"/>
    <w:rsid w:val="009236BF"/>
    <w:rsid w:val="00931311"/>
    <w:rsid w:val="00931915"/>
    <w:rsid w:val="00931C16"/>
    <w:rsid w:val="00934483"/>
    <w:rsid w:val="0094047C"/>
    <w:rsid w:val="00944105"/>
    <w:rsid w:val="00950846"/>
    <w:rsid w:val="00950AE0"/>
    <w:rsid w:val="009531BD"/>
    <w:rsid w:val="00953294"/>
    <w:rsid w:val="009552B0"/>
    <w:rsid w:val="00957BD9"/>
    <w:rsid w:val="00962468"/>
    <w:rsid w:val="0096493F"/>
    <w:rsid w:val="00964B35"/>
    <w:rsid w:val="00964FAC"/>
    <w:rsid w:val="00965A86"/>
    <w:rsid w:val="009707AE"/>
    <w:rsid w:val="00973330"/>
    <w:rsid w:val="00983DB2"/>
    <w:rsid w:val="00984C55"/>
    <w:rsid w:val="00987959"/>
    <w:rsid w:val="0099167B"/>
    <w:rsid w:val="00995A56"/>
    <w:rsid w:val="00995BBB"/>
    <w:rsid w:val="00996848"/>
    <w:rsid w:val="00996CDB"/>
    <w:rsid w:val="009A2865"/>
    <w:rsid w:val="009A4D6D"/>
    <w:rsid w:val="009B260B"/>
    <w:rsid w:val="009B6C3D"/>
    <w:rsid w:val="009C4923"/>
    <w:rsid w:val="009C7C44"/>
    <w:rsid w:val="009D26F1"/>
    <w:rsid w:val="009E300D"/>
    <w:rsid w:val="009E4D45"/>
    <w:rsid w:val="009E6CC4"/>
    <w:rsid w:val="009F0ABC"/>
    <w:rsid w:val="009F3860"/>
    <w:rsid w:val="009F4056"/>
    <w:rsid w:val="009F685D"/>
    <w:rsid w:val="00A02782"/>
    <w:rsid w:val="00A05A5F"/>
    <w:rsid w:val="00A05FE1"/>
    <w:rsid w:val="00A138A7"/>
    <w:rsid w:val="00A154A3"/>
    <w:rsid w:val="00A161BA"/>
    <w:rsid w:val="00A24DBF"/>
    <w:rsid w:val="00A2584E"/>
    <w:rsid w:val="00A27AAD"/>
    <w:rsid w:val="00A336BA"/>
    <w:rsid w:val="00A363B9"/>
    <w:rsid w:val="00A4087E"/>
    <w:rsid w:val="00A46DEB"/>
    <w:rsid w:val="00A477D3"/>
    <w:rsid w:val="00A479C6"/>
    <w:rsid w:val="00A47E2B"/>
    <w:rsid w:val="00A5502B"/>
    <w:rsid w:val="00A57C34"/>
    <w:rsid w:val="00A61196"/>
    <w:rsid w:val="00A71619"/>
    <w:rsid w:val="00A723C0"/>
    <w:rsid w:val="00A74077"/>
    <w:rsid w:val="00A76364"/>
    <w:rsid w:val="00A77709"/>
    <w:rsid w:val="00A805BE"/>
    <w:rsid w:val="00A8094F"/>
    <w:rsid w:val="00A849C8"/>
    <w:rsid w:val="00A9161B"/>
    <w:rsid w:val="00A938AD"/>
    <w:rsid w:val="00AA264C"/>
    <w:rsid w:val="00AA6B18"/>
    <w:rsid w:val="00AA6E10"/>
    <w:rsid w:val="00AB2B1D"/>
    <w:rsid w:val="00AB4080"/>
    <w:rsid w:val="00AB6349"/>
    <w:rsid w:val="00AB73EC"/>
    <w:rsid w:val="00AC2F98"/>
    <w:rsid w:val="00AC4A8D"/>
    <w:rsid w:val="00AD0CDA"/>
    <w:rsid w:val="00AD3621"/>
    <w:rsid w:val="00AD4A12"/>
    <w:rsid w:val="00AD5806"/>
    <w:rsid w:val="00AD5B20"/>
    <w:rsid w:val="00AE0A6A"/>
    <w:rsid w:val="00AE1E7C"/>
    <w:rsid w:val="00AE2EB6"/>
    <w:rsid w:val="00AF4026"/>
    <w:rsid w:val="00AF6396"/>
    <w:rsid w:val="00AF6743"/>
    <w:rsid w:val="00AF6896"/>
    <w:rsid w:val="00AF6BD1"/>
    <w:rsid w:val="00B008F6"/>
    <w:rsid w:val="00B01366"/>
    <w:rsid w:val="00B03FAE"/>
    <w:rsid w:val="00B06FC0"/>
    <w:rsid w:val="00B1037B"/>
    <w:rsid w:val="00B106D6"/>
    <w:rsid w:val="00B118AD"/>
    <w:rsid w:val="00B126C2"/>
    <w:rsid w:val="00B13F1B"/>
    <w:rsid w:val="00B15067"/>
    <w:rsid w:val="00B20198"/>
    <w:rsid w:val="00B20683"/>
    <w:rsid w:val="00B21242"/>
    <w:rsid w:val="00B254C2"/>
    <w:rsid w:val="00B25B1F"/>
    <w:rsid w:val="00B2654A"/>
    <w:rsid w:val="00B3032B"/>
    <w:rsid w:val="00B32C81"/>
    <w:rsid w:val="00B33164"/>
    <w:rsid w:val="00B340DF"/>
    <w:rsid w:val="00B35C9B"/>
    <w:rsid w:val="00B41CAB"/>
    <w:rsid w:val="00B447C8"/>
    <w:rsid w:val="00B46A4F"/>
    <w:rsid w:val="00B478E5"/>
    <w:rsid w:val="00B52F3E"/>
    <w:rsid w:val="00B542C7"/>
    <w:rsid w:val="00B552FA"/>
    <w:rsid w:val="00B62757"/>
    <w:rsid w:val="00B65D0D"/>
    <w:rsid w:val="00B679F2"/>
    <w:rsid w:val="00B67DA4"/>
    <w:rsid w:val="00B728B8"/>
    <w:rsid w:val="00B759E3"/>
    <w:rsid w:val="00B77010"/>
    <w:rsid w:val="00B83FB1"/>
    <w:rsid w:val="00B85741"/>
    <w:rsid w:val="00B86231"/>
    <w:rsid w:val="00B8667C"/>
    <w:rsid w:val="00B94AC2"/>
    <w:rsid w:val="00B95EAD"/>
    <w:rsid w:val="00BA0613"/>
    <w:rsid w:val="00BA6959"/>
    <w:rsid w:val="00BB1C60"/>
    <w:rsid w:val="00BB2ED6"/>
    <w:rsid w:val="00BB30A5"/>
    <w:rsid w:val="00BC0A90"/>
    <w:rsid w:val="00BC121C"/>
    <w:rsid w:val="00BC44BB"/>
    <w:rsid w:val="00BC4649"/>
    <w:rsid w:val="00BC4848"/>
    <w:rsid w:val="00BC6425"/>
    <w:rsid w:val="00BC6B6F"/>
    <w:rsid w:val="00BD2B3C"/>
    <w:rsid w:val="00BD4D8C"/>
    <w:rsid w:val="00BE128B"/>
    <w:rsid w:val="00BE1ED8"/>
    <w:rsid w:val="00BE3989"/>
    <w:rsid w:val="00BE4114"/>
    <w:rsid w:val="00BE63E2"/>
    <w:rsid w:val="00BF143D"/>
    <w:rsid w:val="00BF2957"/>
    <w:rsid w:val="00BF2D76"/>
    <w:rsid w:val="00BF2F86"/>
    <w:rsid w:val="00BF44CC"/>
    <w:rsid w:val="00BF564A"/>
    <w:rsid w:val="00BF7213"/>
    <w:rsid w:val="00C00BD9"/>
    <w:rsid w:val="00C05D49"/>
    <w:rsid w:val="00C065BB"/>
    <w:rsid w:val="00C06B3E"/>
    <w:rsid w:val="00C15B99"/>
    <w:rsid w:val="00C2228D"/>
    <w:rsid w:val="00C23EB6"/>
    <w:rsid w:val="00C26C24"/>
    <w:rsid w:val="00C27572"/>
    <w:rsid w:val="00C33623"/>
    <w:rsid w:val="00C34B24"/>
    <w:rsid w:val="00C37F2D"/>
    <w:rsid w:val="00C417CB"/>
    <w:rsid w:val="00C43B52"/>
    <w:rsid w:val="00C509E3"/>
    <w:rsid w:val="00C51579"/>
    <w:rsid w:val="00C60F5C"/>
    <w:rsid w:val="00C62C00"/>
    <w:rsid w:val="00C63F5D"/>
    <w:rsid w:val="00C65ACC"/>
    <w:rsid w:val="00C664FB"/>
    <w:rsid w:val="00C66505"/>
    <w:rsid w:val="00C713D2"/>
    <w:rsid w:val="00C71C0C"/>
    <w:rsid w:val="00C721E3"/>
    <w:rsid w:val="00C75815"/>
    <w:rsid w:val="00C75A71"/>
    <w:rsid w:val="00C8396B"/>
    <w:rsid w:val="00C9592F"/>
    <w:rsid w:val="00CA2518"/>
    <w:rsid w:val="00CA444D"/>
    <w:rsid w:val="00CA525C"/>
    <w:rsid w:val="00CA717E"/>
    <w:rsid w:val="00CB495E"/>
    <w:rsid w:val="00CB4D4B"/>
    <w:rsid w:val="00CB7541"/>
    <w:rsid w:val="00CB7885"/>
    <w:rsid w:val="00CC04F2"/>
    <w:rsid w:val="00CC24C1"/>
    <w:rsid w:val="00CC3515"/>
    <w:rsid w:val="00CC6272"/>
    <w:rsid w:val="00CC7ED3"/>
    <w:rsid w:val="00CD039F"/>
    <w:rsid w:val="00CD5721"/>
    <w:rsid w:val="00CD755A"/>
    <w:rsid w:val="00CE00C0"/>
    <w:rsid w:val="00CE07A6"/>
    <w:rsid w:val="00CE0A47"/>
    <w:rsid w:val="00CE4A03"/>
    <w:rsid w:val="00CF1200"/>
    <w:rsid w:val="00CF244F"/>
    <w:rsid w:val="00CF3AE2"/>
    <w:rsid w:val="00CF3B1E"/>
    <w:rsid w:val="00CF690C"/>
    <w:rsid w:val="00CF6AC4"/>
    <w:rsid w:val="00CF7929"/>
    <w:rsid w:val="00D005A8"/>
    <w:rsid w:val="00D016D7"/>
    <w:rsid w:val="00D02B6E"/>
    <w:rsid w:val="00D03132"/>
    <w:rsid w:val="00D05E24"/>
    <w:rsid w:val="00D06D6E"/>
    <w:rsid w:val="00D07B53"/>
    <w:rsid w:val="00D11B66"/>
    <w:rsid w:val="00D157BB"/>
    <w:rsid w:val="00D20709"/>
    <w:rsid w:val="00D23044"/>
    <w:rsid w:val="00D26A9C"/>
    <w:rsid w:val="00D315B7"/>
    <w:rsid w:val="00D32241"/>
    <w:rsid w:val="00D32AB9"/>
    <w:rsid w:val="00D338FE"/>
    <w:rsid w:val="00D34774"/>
    <w:rsid w:val="00D34B33"/>
    <w:rsid w:val="00D36BE1"/>
    <w:rsid w:val="00D40242"/>
    <w:rsid w:val="00D40294"/>
    <w:rsid w:val="00D411D8"/>
    <w:rsid w:val="00D42623"/>
    <w:rsid w:val="00D44C9F"/>
    <w:rsid w:val="00D47413"/>
    <w:rsid w:val="00D503AD"/>
    <w:rsid w:val="00D51198"/>
    <w:rsid w:val="00D55447"/>
    <w:rsid w:val="00D56214"/>
    <w:rsid w:val="00D63E42"/>
    <w:rsid w:val="00D64165"/>
    <w:rsid w:val="00D8384B"/>
    <w:rsid w:val="00D83B79"/>
    <w:rsid w:val="00D84351"/>
    <w:rsid w:val="00D87DCB"/>
    <w:rsid w:val="00D907A3"/>
    <w:rsid w:val="00D90B9D"/>
    <w:rsid w:val="00D92CFD"/>
    <w:rsid w:val="00D96A6A"/>
    <w:rsid w:val="00D975EC"/>
    <w:rsid w:val="00DA377A"/>
    <w:rsid w:val="00DA62A4"/>
    <w:rsid w:val="00DB029F"/>
    <w:rsid w:val="00DB0E70"/>
    <w:rsid w:val="00DB1F5B"/>
    <w:rsid w:val="00DB25FB"/>
    <w:rsid w:val="00DB4454"/>
    <w:rsid w:val="00DC0AEC"/>
    <w:rsid w:val="00DC2E03"/>
    <w:rsid w:val="00DC3135"/>
    <w:rsid w:val="00DC38B8"/>
    <w:rsid w:val="00DC6ADB"/>
    <w:rsid w:val="00DD302C"/>
    <w:rsid w:val="00DD392C"/>
    <w:rsid w:val="00DD6E1E"/>
    <w:rsid w:val="00DD7C47"/>
    <w:rsid w:val="00DE458D"/>
    <w:rsid w:val="00DF5014"/>
    <w:rsid w:val="00DF7711"/>
    <w:rsid w:val="00DF77B0"/>
    <w:rsid w:val="00E02989"/>
    <w:rsid w:val="00E035F5"/>
    <w:rsid w:val="00E04941"/>
    <w:rsid w:val="00E05A4D"/>
    <w:rsid w:val="00E065B8"/>
    <w:rsid w:val="00E10CB4"/>
    <w:rsid w:val="00E12BCB"/>
    <w:rsid w:val="00E13E2A"/>
    <w:rsid w:val="00E176B2"/>
    <w:rsid w:val="00E231C2"/>
    <w:rsid w:val="00E234AC"/>
    <w:rsid w:val="00E35B80"/>
    <w:rsid w:val="00E37336"/>
    <w:rsid w:val="00E51160"/>
    <w:rsid w:val="00E5118E"/>
    <w:rsid w:val="00E515B5"/>
    <w:rsid w:val="00E5445D"/>
    <w:rsid w:val="00E61876"/>
    <w:rsid w:val="00E6192C"/>
    <w:rsid w:val="00E652C8"/>
    <w:rsid w:val="00E7289C"/>
    <w:rsid w:val="00E73110"/>
    <w:rsid w:val="00E74370"/>
    <w:rsid w:val="00E75139"/>
    <w:rsid w:val="00E77176"/>
    <w:rsid w:val="00E819E3"/>
    <w:rsid w:val="00E81FAC"/>
    <w:rsid w:val="00E83045"/>
    <w:rsid w:val="00E83830"/>
    <w:rsid w:val="00E84C0F"/>
    <w:rsid w:val="00E85446"/>
    <w:rsid w:val="00E85496"/>
    <w:rsid w:val="00E857E5"/>
    <w:rsid w:val="00E8591B"/>
    <w:rsid w:val="00E87BD8"/>
    <w:rsid w:val="00E93A8A"/>
    <w:rsid w:val="00EA3CAB"/>
    <w:rsid w:val="00EA48CA"/>
    <w:rsid w:val="00EA5C47"/>
    <w:rsid w:val="00EA61FE"/>
    <w:rsid w:val="00EA6EE1"/>
    <w:rsid w:val="00EB34E7"/>
    <w:rsid w:val="00EB4B1F"/>
    <w:rsid w:val="00EB79C4"/>
    <w:rsid w:val="00EC0023"/>
    <w:rsid w:val="00EC2230"/>
    <w:rsid w:val="00EC41C6"/>
    <w:rsid w:val="00EC56FA"/>
    <w:rsid w:val="00EC7811"/>
    <w:rsid w:val="00EE32C4"/>
    <w:rsid w:val="00EE35A7"/>
    <w:rsid w:val="00EE3B29"/>
    <w:rsid w:val="00EE5FF3"/>
    <w:rsid w:val="00EE6B4E"/>
    <w:rsid w:val="00EE6CB1"/>
    <w:rsid w:val="00EF275B"/>
    <w:rsid w:val="00EF38F1"/>
    <w:rsid w:val="00EF74A1"/>
    <w:rsid w:val="00EF7D30"/>
    <w:rsid w:val="00F0172A"/>
    <w:rsid w:val="00F05048"/>
    <w:rsid w:val="00F056D9"/>
    <w:rsid w:val="00F0622A"/>
    <w:rsid w:val="00F06F59"/>
    <w:rsid w:val="00F17ABE"/>
    <w:rsid w:val="00F24BAE"/>
    <w:rsid w:val="00F25796"/>
    <w:rsid w:val="00F26E58"/>
    <w:rsid w:val="00F404FC"/>
    <w:rsid w:val="00F40B15"/>
    <w:rsid w:val="00F40E06"/>
    <w:rsid w:val="00F4452A"/>
    <w:rsid w:val="00F44B25"/>
    <w:rsid w:val="00F45307"/>
    <w:rsid w:val="00F5029A"/>
    <w:rsid w:val="00F50425"/>
    <w:rsid w:val="00F53488"/>
    <w:rsid w:val="00F53E43"/>
    <w:rsid w:val="00F6731F"/>
    <w:rsid w:val="00F70684"/>
    <w:rsid w:val="00F739C8"/>
    <w:rsid w:val="00F75452"/>
    <w:rsid w:val="00F77CD0"/>
    <w:rsid w:val="00F77E34"/>
    <w:rsid w:val="00F80663"/>
    <w:rsid w:val="00F86CE8"/>
    <w:rsid w:val="00F95AB5"/>
    <w:rsid w:val="00F970A4"/>
    <w:rsid w:val="00FA0331"/>
    <w:rsid w:val="00FA1108"/>
    <w:rsid w:val="00FA3CAD"/>
    <w:rsid w:val="00FA3CBD"/>
    <w:rsid w:val="00FA65A6"/>
    <w:rsid w:val="00FB0C00"/>
    <w:rsid w:val="00FB4DBC"/>
    <w:rsid w:val="00FB76D9"/>
    <w:rsid w:val="00FC268B"/>
    <w:rsid w:val="00FC6761"/>
    <w:rsid w:val="00FD0C52"/>
    <w:rsid w:val="00FD0D53"/>
    <w:rsid w:val="00FD0EE3"/>
    <w:rsid w:val="00FD6E6E"/>
    <w:rsid w:val="00FD7080"/>
    <w:rsid w:val="00FD7196"/>
    <w:rsid w:val="00FD7968"/>
    <w:rsid w:val="00FE398F"/>
    <w:rsid w:val="00FE49AE"/>
    <w:rsid w:val="00FE7BBC"/>
    <w:rsid w:val="00FF33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5D93AE"/>
  <w15:docId w15:val="{74B8237C-679C-46CB-A0EA-7FA3851A7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w:qFormat/>
    <w:rsid w:val="007609A1"/>
    <w:pPr>
      <w:spacing w:line="240" w:lineRule="auto"/>
    </w:pPr>
    <w:rPr>
      <w:rFonts w:ascii="Garamond" w:hAnsi="Garamond"/>
      <w:sz w:val="24"/>
    </w:rPr>
  </w:style>
  <w:style w:type="paragraph" w:styleId="Heading1">
    <w:name w:val="heading 1"/>
    <w:basedOn w:val="Heading2"/>
    <w:next w:val="Normal"/>
    <w:link w:val="Heading1Char"/>
    <w:uiPriority w:val="9"/>
    <w:qFormat/>
    <w:rsid w:val="00625150"/>
    <w:pPr>
      <w:numPr>
        <w:numId w:val="0"/>
      </w:numPr>
      <w:spacing w:before="480"/>
      <w:jc w:val="right"/>
      <w:outlineLvl w:val="0"/>
    </w:pPr>
  </w:style>
  <w:style w:type="paragraph" w:styleId="Heading2">
    <w:name w:val="heading 2"/>
    <w:basedOn w:val="Normal"/>
    <w:next w:val="Normal"/>
    <w:link w:val="Heading2Char"/>
    <w:uiPriority w:val="9"/>
    <w:unhideWhenUsed/>
    <w:qFormat/>
    <w:rsid w:val="009C4923"/>
    <w:pPr>
      <w:keepNext/>
      <w:keepLines/>
      <w:numPr>
        <w:numId w:val="8"/>
      </w:numPr>
      <w:spacing w:after="0"/>
      <w:ind w:left="576" w:hanging="576"/>
      <w:outlineLvl w:val="1"/>
    </w:pPr>
    <w:rPr>
      <w:rFonts w:asciiTheme="majorHAnsi" w:eastAsiaTheme="majorEastAsia" w:hAnsiTheme="majorHAnsi" w:cstheme="majorBidi"/>
      <w:b/>
      <w:bCs/>
      <w:color w:val="14414C" w:themeColor="accent1"/>
      <w:sz w:val="36"/>
      <w:szCs w:val="36"/>
    </w:rPr>
  </w:style>
  <w:style w:type="paragraph" w:styleId="Heading3">
    <w:name w:val="heading 3"/>
    <w:basedOn w:val="Normal"/>
    <w:next w:val="Normal"/>
    <w:link w:val="Heading3Char"/>
    <w:uiPriority w:val="9"/>
    <w:unhideWhenUsed/>
    <w:qFormat/>
    <w:rsid w:val="00625150"/>
    <w:pPr>
      <w:keepNext/>
      <w:keepLines/>
      <w:numPr>
        <w:ilvl w:val="1"/>
        <w:numId w:val="8"/>
      </w:numPr>
      <w:spacing w:before="120" w:after="0"/>
      <w:outlineLvl w:val="2"/>
    </w:pPr>
    <w:rPr>
      <w:rFonts w:asciiTheme="majorHAnsi" w:eastAsiaTheme="majorEastAsia" w:hAnsiTheme="majorHAnsi" w:cstheme="majorBidi"/>
      <w:b/>
      <w:bCs/>
      <w:color w:val="14414C" w:themeColor="accent1"/>
    </w:rPr>
  </w:style>
  <w:style w:type="paragraph" w:styleId="Heading4">
    <w:name w:val="heading 4"/>
    <w:basedOn w:val="Normal"/>
    <w:next w:val="Normal"/>
    <w:link w:val="Heading4Char"/>
    <w:uiPriority w:val="9"/>
    <w:unhideWhenUsed/>
    <w:qFormat/>
    <w:rsid w:val="00625150"/>
    <w:pPr>
      <w:keepNext/>
      <w:keepLines/>
      <w:numPr>
        <w:ilvl w:val="2"/>
        <w:numId w:val="8"/>
      </w:numPr>
      <w:spacing w:before="120" w:after="0"/>
      <w:outlineLvl w:val="3"/>
    </w:pPr>
    <w:rPr>
      <w:rFonts w:asciiTheme="majorHAnsi" w:eastAsiaTheme="majorEastAsia" w:hAnsiTheme="majorHAnsi" w:cstheme="majorBidi"/>
      <w:bCs/>
      <w:iCs/>
      <w:color w:val="14414C" w:themeColor="accent1"/>
      <w:u w:val="single"/>
    </w:rPr>
  </w:style>
  <w:style w:type="paragraph" w:styleId="Heading5">
    <w:name w:val="heading 5"/>
    <w:basedOn w:val="Normal"/>
    <w:next w:val="Normal"/>
    <w:link w:val="Heading5Char"/>
    <w:autoRedefine/>
    <w:uiPriority w:val="9"/>
    <w:unhideWhenUsed/>
    <w:qFormat/>
    <w:rsid w:val="00625150"/>
    <w:pPr>
      <w:keepNext/>
      <w:keepLines/>
      <w:numPr>
        <w:ilvl w:val="3"/>
        <w:numId w:val="8"/>
      </w:numPr>
      <w:spacing w:before="120" w:after="0"/>
      <w:outlineLvl w:val="4"/>
    </w:pPr>
    <w:rPr>
      <w:rFonts w:asciiTheme="majorHAnsi" w:eastAsiaTheme="majorEastAsia" w:hAnsiTheme="majorHAnsi" w:cstheme="majorBidi"/>
      <w:i/>
      <w:color w:val="14414C" w:themeColor="accent1"/>
      <w:sz w:val="22"/>
    </w:rPr>
  </w:style>
  <w:style w:type="paragraph" w:styleId="Heading6">
    <w:name w:val="heading 6"/>
    <w:basedOn w:val="Normal"/>
    <w:next w:val="Normal"/>
    <w:link w:val="Heading6Char"/>
    <w:autoRedefine/>
    <w:uiPriority w:val="9"/>
    <w:unhideWhenUsed/>
    <w:qFormat/>
    <w:rsid w:val="00625150"/>
    <w:pPr>
      <w:keepNext/>
      <w:keepLines/>
      <w:numPr>
        <w:ilvl w:val="4"/>
        <w:numId w:val="8"/>
      </w:numPr>
      <w:spacing w:before="120" w:after="0"/>
      <w:outlineLvl w:val="5"/>
    </w:pPr>
    <w:rPr>
      <w:rFonts w:asciiTheme="majorHAnsi" w:eastAsiaTheme="majorEastAsia" w:hAnsiTheme="majorHAnsi" w:cstheme="majorBidi"/>
      <w:b/>
      <w:iCs/>
      <w:color w:val="14414C" w:themeColor="accent1"/>
      <w:sz w:val="20"/>
      <w:szCs w:val="20"/>
    </w:rPr>
  </w:style>
  <w:style w:type="paragraph" w:styleId="Heading7">
    <w:name w:val="heading 7"/>
    <w:basedOn w:val="Normal"/>
    <w:next w:val="Normal"/>
    <w:link w:val="Heading7Char"/>
    <w:autoRedefine/>
    <w:uiPriority w:val="9"/>
    <w:unhideWhenUsed/>
    <w:qFormat/>
    <w:rsid w:val="00625150"/>
    <w:pPr>
      <w:keepNext/>
      <w:keepLines/>
      <w:numPr>
        <w:ilvl w:val="5"/>
        <w:numId w:val="8"/>
      </w:numPr>
      <w:spacing w:before="120" w:after="0"/>
      <w:outlineLvl w:val="6"/>
    </w:pPr>
    <w:rPr>
      <w:rFonts w:asciiTheme="majorHAnsi" w:eastAsiaTheme="majorEastAsia" w:hAnsiTheme="majorHAnsi" w:cstheme="majorBidi"/>
      <w:iCs/>
      <w:color w:val="14414C" w:themeColor="accent1"/>
      <w:sz w:val="20"/>
      <w:szCs w:val="20"/>
      <w:u w:val="single"/>
    </w:rPr>
  </w:style>
  <w:style w:type="paragraph" w:styleId="Heading8">
    <w:name w:val="heading 8"/>
    <w:basedOn w:val="Normal"/>
    <w:next w:val="Normal"/>
    <w:link w:val="Heading8Char"/>
    <w:uiPriority w:val="9"/>
    <w:unhideWhenUsed/>
    <w:qFormat/>
    <w:rsid w:val="00625150"/>
    <w:pPr>
      <w:keepNext/>
      <w:keepLines/>
      <w:numPr>
        <w:ilvl w:val="6"/>
        <w:numId w:val="8"/>
      </w:numPr>
      <w:spacing w:before="120" w:after="0"/>
      <w:outlineLvl w:val="7"/>
    </w:pPr>
    <w:rPr>
      <w:rFonts w:asciiTheme="majorHAnsi" w:eastAsiaTheme="majorEastAsia" w:hAnsiTheme="majorHAnsi" w:cstheme="majorBidi"/>
      <w:i/>
      <w:color w:val="14414C" w:themeColor="accent1"/>
      <w:sz w:val="20"/>
      <w:szCs w:val="20"/>
    </w:rPr>
  </w:style>
  <w:style w:type="paragraph" w:styleId="Heading9">
    <w:name w:val="heading 9"/>
    <w:basedOn w:val="Normal"/>
    <w:next w:val="Normal"/>
    <w:link w:val="Heading9Char"/>
    <w:uiPriority w:val="9"/>
    <w:unhideWhenUsed/>
    <w:rsid w:val="00625150"/>
    <w:pPr>
      <w:keepNext/>
      <w:keepLines/>
      <w:numPr>
        <w:ilvl w:val="7"/>
        <w:numId w:val="8"/>
      </w:numPr>
      <w:spacing w:before="120" w:after="0"/>
      <w:outlineLvl w:val="8"/>
    </w:pPr>
    <w:rPr>
      <w:rFonts w:asciiTheme="majorHAnsi" w:eastAsiaTheme="majorEastAsia" w:hAnsiTheme="majorHAnsi" w:cstheme="majorBidi"/>
      <w:iCs/>
      <w:color w:val="14414C" w:themeColor="accen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4923"/>
    <w:rPr>
      <w:rFonts w:asciiTheme="majorHAnsi" w:eastAsiaTheme="majorEastAsia" w:hAnsiTheme="majorHAnsi" w:cstheme="majorBidi"/>
      <w:b/>
      <w:bCs/>
      <w:color w:val="14414C" w:themeColor="accent1"/>
      <w:sz w:val="36"/>
      <w:szCs w:val="36"/>
    </w:rPr>
  </w:style>
  <w:style w:type="character" w:customStyle="1" w:styleId="Heading1Char">
    <w:name w:val="Heading 1 Char"/>
    <w:basedOn w:val="DefaultParagraphFont"/>
    <w:link w:val="Heading1"/>
    <w:uiPriority w:val="9"/>
    <w:rsid w:val="00625150"/>
    <w:rPr>
      <w:rFonts w:asciiTheme="majorHAnsi" w:eastAsiaTheme="majorEastAsia" w:hAnsiTheme="majorHAnsi" w:cstheme="majorBidi"/>
      <w:b/>
      <w:bCs/>
      <w:color w:val="14414C" w:themeColor="accent1"/>
      <w:sz w:val="36"/>
      <w:szCs w:val="36"/>
    </w:rPr>
  </w:style>
  <w:style w:type="character" w:customStyle="1" w:styleId="Heading3Char">
    <w:name w:val="Heading 3 Char"/>
    <w:basedOn w:val="DefaultParagraphFont"/>
    <w:link w:val="Heading3"/>
    <w:uiPriority w:val="9"/>
    <w:rsid w:val="00625150"/>
    <w:rPr>
      <w:rFonts w:asciiTheme="majorHAnsi" w:eastAsiaTheme="majorEastAsia" w:hAnsiTheme="majorHAnsi" w:cstheme="majorBidi"/>
      <w:b/>
      <w:bCs/>
      <w:color w:val="14414C" w:themeColor="accent1"/>
      <w:sz w:val="24"/>
    </w:rPr>
  </w:style>
  <w:style w:type="character" w:customStyle="1" w:styleId="Heading4Char">
    <w:name w:val="Heading 4 Char"/>
    <w:basedOn w:val="DefaultParagraphFont"/>
    <w:link w:val="Heading4"/>
    <w:uiPriority w:val="9"/>
    <w:rsid w:val="00625150"/>
    <w:rPr>
      <w:rFonts w:asciiTheme="majorHAnsi" w:eastAsiaTheme="majorEastAsia" w:hAnsiTheme="majorHAnsi" w:cstheme="majorBidi"/>
      <w:bCs/>
      <w:iCs/>
      <w:color w:val="14414C" w:themeColor="accent1"/>
      <w:sz w:val="24"/>
      <w:u w:val="single"/>
    </w:rPr>
  </w:style>
  <w:style w:type="character" w:customStyle="1" w:styleId="Heading5Char">
    <w:name w:val="Heading 5 Char"/>
    <w:basedOn w:val="DefaultParagraphFont"/>
    <w:link w:val="Heading5"/>
    <w:uiPriority w:val="9"/>
    <w:rsid w:val="00625150"/>
    <w:rPr>
      <w:rFonts w:asciiTheme="majorHAnsi" w:eastAsiaTheme="majorEastAsia" w:hAnsiTheme="majorHAnsi" w:cstheme="majorBidi"/>
      <w:i/>
      <w:color w:val="14414C" w:themeColor="accent1"/>
    </w:rPr>
  </w:style>
  <w:style w:type="character" w:customStyle="1" w:styleId="Heading6Char">
    <w:name w:val="Heading 6 Char"/>
    <w:basedOn w:val="DefaultParagraphFont"/>
    <w:link w:val="Heading6"/>
    <w:uiPriority w:val="9"/>
    <w:rsid w:val="00625150"/>
    <w:rPr>
      <w:rFonts w:asciiTheme="majorHAnsi" w:eastAsiaTheme="majorEastAsia" w:hAnsiTheme="majorHAnsi" w:cstheme="majorBidi"/>
      <w:b/>
      <w:iCs/>
      <w:color w:val="14414C" w:themeColor="accent1"/>
      <w:sz w:val="20"/>
      <w:szCs w:val="20"/>
    </w:rPr>
  </w:style>
  <w:style w:type="character" w:customStyle="1" w:styleId="Heading7Char">
    <w:name w:val="Heading 7 Char"/>
    <w:basedOn w:val="DefaultParagraphFont"/>
    <w:link w:val="Heading7"/>
    <w:uiPriority w:val="9"/>
    <w:rsid w:val="00625150"/>
    <w:rPr>
      <w:rFonts w:asciiTheme="majorHAnsi" w:eastAsiaTheme="majorEastAsia" w:hAnsiTheme="majorHAnsi" w:cstheme="majorBidi"/>
      <w:iCs/>
      <w:color w:val="14414C" w:themeColor="accent1"/>
      <w:sz w:val="20"/>
      <w:szCs w:val="20"/>
      <w:u w:val="single"/>
    </w:rPr>
  </w:style>
  <w:style w:type="character" w:customStyle="1" w:styleId="Heading8Char">
    <w:name w:val="Heading 8 Char"/>
    <w:basedOn w:val="DefaultParagraphFont"/>
    <w:link w:val="Heading8"/>
    <w:uiPriority w:val="9"/>
    <w:rsid w:val="00625150"/>
    <w:rPr>
      <w:rFonts w:asciiTheme="majorHAnsi" w:eastAsiaTheme="majorEastAsia" w:hAnsiTheme="majorHAnsi" w:cstheme="majorBidi"/>
      <w:i/>
      <w:color w:val="14414C" w:themeColor="accent1"/>
      <w:sz w:val="20"/>
      <w:szCs w:val="20"/>
    </w:rPr>
  </w:style>
  <w:style w:type="character" w:customStyle="1" w:styleId="Heading9Char">
    <w:name w:val="Heading 9 Char"/>
    <w:basedOn w:val="DefaultParagraphFont"/>
    <w:link w:val="Heading9"/>
    <w:uiPriority w:val="9"/>
    <w:rsid w:val="00625150"/>
    <w:rPr>
      <w:rFonts w:asciiTheme="majorHAnsi" w:eastAsiaTheme="majorEastAsia" w:hAnsiTheme="majorHAnsi" w:cstheme="majorBidi"/>
      <w:iCs/>
      <w:color w:val="14414C" w:themeColor="accent1"/>
      <w:sz w:val="20"/>
      <w:szCs w:val="20"/>
    </w:rPr>
  </w:style>
  <w:style w:type="paragraph" w:customStyle="1" w:styleId="ClientA">
    <w:name w:val="Client A"/>
    <w:basedOn w:val="Normal"/>
    <w:next w:val="ClientB"/>
    <w:rsid w:val="00B340DF"/>
    <w:pPr>
      <w:spacing w:before="1080" w:after="0"/>
      <w:jc w:val="right"/>
    </w:pPr>
    <w:rPr>
      <w:rFonts w:asciiTheme="majorHAnsi" w:eastAsia="Times New Roman" w:hAnsiTheme="majorHAnsi" w:cs="Arial"/>
      <w:b/>
      <w:bCs/>
      <w:szCs w:val="20"/>
    </w:rPr>
  </w:style>
  <w:style w:type="paragraph" w:customStyle="1" w:styleId="ClientB">
    <w:name w:val="Client B"/>
    <w:basedOn w:val="Normal"/>
    <w:rsid w:val="00B340DF"/>
    <w:pPr>
      <w:spacing w:after="0"/>
      <w:jc w:val="right"/>
    </w:pPr>
    <w:rPr>
      <w:rFonts w:asciiTheme="majorHAnsi" w:eastAsia="Times New Roman" w:hAnsiTheme="majorHAnsi" w:cs="Arial"/>
      <w:szCs w:val="20"/>
    </w:rPr>
  </w:style>
  <w:style w:type="paragraph" w:styleId="Subtitle">
    <w:name w:val="Subtitle"/>
    <w:basedOn w:val="Normal"/>
    <w:next w:val="Normal"/>
    <w:link w:val="SubtitleChar"/>
    <w:uiPriority w:val="11"/>
    <w:qFormat/>
    <w:rsid w:val="001E1D67"/>
    <w:pPr>
      <w:numPr>
        <w:ilvl w:val="1"/>
      </w:numPr>
      <w:spacing w:after="60"/>
      <w:jc w:val="right"/>
    </w:pPr>
    <w:rPr>
      <w:rFonts w:ascii="Century Gothic" w:eastAsiaTheme="majorEastAsia" w:hAnsi="Century Gothic" w:cstheme="majorBidi"/>
      <w:iCs/>
      <w:color w:val="000000" w:themeColor="text1"/>
      <w:spacing w:val="15"/>
      <w:sz w:val="36"/>
      <w:szCs w:val="24"/>
    </w:rPr>
  </w:style>
  <w:style w:type="character" w:customStyle="1" w:styleId="SubtitleChar">
    <w:name w:val="Subtitle Char"/>
    <w:basedOn w:val="DefaultParagraphFont"/>
    <w:link w:val="Subtitle"/>
    <w:uiPriority w:val="11"/>
    <w:rsid w:val="001E1D67"/>
    <w:rPr>
      <w:rFonts w:ascii="Century Gothic" w:eastAsiaTheme="majorEastAsia" w:hAnsi="Century Gothic" w:cstheme="majorBidi"/>
      <w:iCs/>
      <w:color w:val="000000" w:themeColor="text1"/>
      <w:spacing w:val="15"/>
      <w:sz w:val="36"/>
      <w:szCs w:val="24"/>
    </w:rPr>
  </w:style>
  <w:style w:type="paragraph" w:styleId="Header">
    <w:name w:val="header"/>
    <w:basedOn w:val="Normal"/>
    <w:link w:val="HeaderChar"/>
    <w:uiPriority w:val="99"/>
    <w:unhideWhenUsed/>
    <w:qFormat/>
    <w:rsid w:val="00B340DF"/>
    <w:pPr>
      <w:tabs>
        <w:tab w:val="center" w:pos="4680"/>
        <w:tab w:val="right" w:pos="9360"/>
      </w:tabs>
      <w:spacing w:after="0"/>
      <w:ind w:left="-360" w:right="-360"/>
      <w:jc w:val="center"/>
    </w:pPr>
    <w:rPr>
      <w:rFonts w:asciiTheme="majorHAnsi" w:hAnsiTheme="majorHAnsi"/>
      <w:sz w:val="20"/>
    </w:rPr>
  </w:style>
  <w:style w:type="character" w:customStyle="1" w:styleId="HeaderChar">
    <w:name w:val="Header Char"/>
    <w:basedOn w:val="DefaultParagraphFont"/>
    <w:link w:val="Header"/>
    <w:uiPriority w:val="99"/>
    <w:rsid w:val="00B340DF"/>
    <w:rPr>
      <w:rFonts w:asciiTheme="majorHAnsi" w:hAnsiTheme="majorHAnsi"/>
      <w:sz w:val="20"/>
    </w:rPr>
  </w:style>
  <w:style w:type="paragraph" w:styleId="Footer">
    <w:name w:val="footer"/>
    <w:basedOn w:val="Normal"/>
    <w:link w:val="FooterChar"/>
    <w:uiPriority w:val="99"/>
    <w:unhideWhenUsed/>
    <w:qFormat/>
    <w:rsid w:val="00B340DF"/>
    <w:pPr>
      <w:spacing w:after="0"/>
    </w:pPr>
    <w:rPr>
      <w:rFonts w:asciiTheme="majorHAnsi" w:hAnsiTheme="majorHAnsi"/>
      <w:sz w:val="20"/>
    </w:rPr>
  </w:style>
  <w:style w:type="character" w:customStyle="1" w:styleId="FooterChar">
    <w:name w:val="Footer Char"/>
    <w:basedOn w:val="DefaultParagraphFont"/>
    <w:link w:val="Footer"/>
    <w:uiPriority w:val="99"/>
    <w:rsid w:val="00B340DF"/>
    <w:rPr>
      <w:rFonts w:asciiTheme="majorHAnsi" w:hAnsiTheme="majorHAnsi"/>
      <w:sz w:val="20"/>
    </w:rPr>
  </w:style>
  <w:style w:type="paragraph" w:styleId="TOCHeading">
    <w:name w:val="TOC Heading"/>
    <w:basedOn w:val="Heading1"/>
    <w:next w:val="Normal"/>
    <w:uiPriority w:val="39"/>
    <w:unhideWhenUsed/>
    <w:qFormat/>
    <w:rsid w:val="00C9592F"/>
    <w:pPr>
      <w:jc w:val="left"/>
      <w:outlineLvl w:val="9"/>
    </w:pPr>
    <w:rPr>
      <w:lang w:eastAsia="ja-JP"/>
    </w:rPr>
  </w:style>
  <w:style w:type="paragraph" w:styleId="FootnoteText">
    <w:name w:val="footnote text"/>
    <w:basedOn w:val="Normal"/>
    <w:link w:val="FootnoteTextChar"/>
    <w:unhideWhenUsed/>
    <w:qFormat/>
    <w:rsid w:val="00B340DF"/>
    <w:pPr>
      <w:spacing w:after="0"/>
    </w:pPr>
    <w:rPr>
      <w:rFonts w:asciiTheme="minorHAnsi" w:eastAsiaTheme="minorEastAsia" w:hAnsiTheme="minorHAnsi"/>
      <w:sz w:val="20"/>
      <w:szCs w:val="20"/>
      <w:lang w:eastAsia="ja-JP"/>
    </w:rPr>
  </w:style>
  <w:style w:type="character" w:customStyle="1" w:styleId="FootnoteTextChar">
    <w:name w:val="Footnote Text Char"/>
    <w:basedOn w:val="DefaultParagraphFont"/>
    <w:link w:val="FootnoteText"/>
    <w:rsid w:val="00B340DF"/>
    <w:rPr>
      <w:rFonts w:eastAsiaTheme="minorEastAsia"/>
      <w:sz w:val="20"/>
      <w:szCs w:val="20"/>
      <w:lang w:eastAsia="ja-JP"/>
    </w:rPr>
  </w:style>
  <w:style w:type="table" w:styleId="MediumShading2-Accent5">
    <w:name w:val="Medium Shading 2 Accent 5"/>
    <w:basedOn w:val="TableNormal"/>
    <w:uiPriority w:val="64"/>
    <w:rsid w:val="00BE4114"/>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601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B6015" w:themeFill="accent5"/>
      </w:tcPr>
    </w:tblStylePr>
    <w:tblStylePr w:type="lastCol">
      <w:rPr>
        <w:b/>
        <w:bCs/>
        <w:color w:val="FFFFFF" w:themeColor="background1"/>
      </w:rPr>
      <w:tblPr/>
      <w:tcPr>
        <w:tcBorders>
          <w:left w:val="nil"/>
          <w:right w:val="nil"/>
          <w:insideH w:val="nil"/>
          <w:insideV w:val="nil"/>
        </w:tcBorders>
        <w:shd w:val="clear" w:color="auto" w:fill="CB60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1">
    <w:name w:val="toc 1"/>
    <w:basedOn w:val="Normal"/>
    <w:next w:val="Normal"/>
    <w:autoRedefine/>
    <w:uiPriority w:val="39"/>
    <w:unhideWhenUsed/>
    <w:rsid w:val="00C9592F"/>
    <w:pPr>
      <w:tabs>
        <w:tab w:val="right" w:leader="dot" w:pos="9350"/>
      </w:tabs>
      <w:spacing w:after="100"/>
    </w:pPr>
    <w:rPr>
      <w:rFonts w:asciiTheme="minorHAnsi" w:hAnsiTheme="minorHAnsi"/>
      <w:b/>
    </w:rPr>
  </w:style>
  <w:style w:type="paragraph" w:styleId="TOC2">
    <w:name w:val="toc 2"/>
    <w:basedOn w:val="Normal"/>
    <w:next w:val="Normal"/>
    <w:autoRedefine/>
    <w:uiPriority w:val="39"/>
    <w:unhideWhenUsed/>
    <w:rsid w:val="005A064B"/>
    <w:pPr>
      <w:tabs>
        <w:tab w:val="left" w:pos="720"/>
        <w:tab w:val="right" w:leader="dot" w:pos="9350"/>
      </w:tabs>
      <w:spacing w:after="100"/>
      <w:ind w:left="245"/>
    </w:pPr>
    <w:rPr>
      <w:noProof/>
    </w:rPr>
  </w:style>
  <w:style w:type="paragraph" w:styleId="TOC3">
    <w:name w:val="toc 3"/>
    <w:basedOn w:val="Normal"/>
    <w:next w:val="Normal"/>
    <w:autoRedefine/>
    <w:uiPriority w:val="39"/>
    <w:unhideWhenUsed/>
    <w:rsid w:val="0082047F"/>
    <w:pPr>
      <w:spacing w:after="100"/>
      <w:ind w:left="480"/>
    </w:pPr>
  </w:style>
  <w:style w:type="character" w:styleId="Hyperlink">
    <w:name w:val="Hyperlink"/>
    <w:basedOn w:val="DefaultParagraphFont"/>
    <w:uiPriority w:val="99"/>
    <w:unhideWhenUsed/>
    <w:qFormat/>
    <w:rsid w:val="0082047F"/>
    <w:rPr>
      <w:color w:val="0563C1" w:themeColor="hyperlink"/>
      <w:u w:val="single"/>
    </w:rPr>
  </w:style>
  <w:style w:type="character" w:styleId="CommentReference">
    <w:name w:val="annotation reference"/>
    <w:basedOn w:val="DefaultParagraphFont"/>
    <w:uiPriority w:val="99"/>
    <w:semiHidden/>
    <w:unhideWhenUsed/>
    <w:rsid w:val="002300D2"/>
    <w:rPr>
      <w:sz w:val="18"/>
      <w:szCs w:val="18"/>
    </w:rPr>
  </w:style>
  <w:style w:type="paragraph" w:styleId="CommentText">
    <w:name w:val="annotation text"/>
    <w:basedOn w:val="Normal"/>
    <w:link w:val="CommentTextChar"/>
    <w:uiPriority w:val="99"/>
    <w:unhideWhenUsed/>
    <w:rsid w:val="00B340DF"/>
    <w:rPr>
      <w:rFonts w:asciiTheme="majorHAnsi" w:hAnsiTheme="majorHAnsi"/>
      <w:szCs w:val="24"/>
    </w:rPr>
  </w:style>
  <w:style w:type="character" w:customStyle="1" w:styleId="CommentTextChar">
    <w:name w:val="Comment Text Char"/>
    <w:basedOn w:val="DefaultParagraphFont"/>
    <w:link w:val="CommentText"/>
    <w:uiPriority w:val="99"/>
    <w:rsid w:val="00B340DF"/>
    <w:rPr>
      <w:rFonts w:asciiTheme="majorHAnsi" w:hAnsiTheme="majorHAnsi"/>
      <w:sz w:val="24"/>
      <w:szCs w:val="24"/>
    </w:rPr>
  </w:style>
  <w:style w:type="paragraph" w:styleId="CommentSubject">
    <w:name w:val="annotation subject"/>
    <w:basedOn w:val="CommentText"/>
    <w:next w:val="CommentText"/>
    <w:link w:val="CommentSubjectChar"/>
    <w:uiPriority w:val="99"/>
    <w:semiHidden/>
    <w:unhideWhenUsed/>
    <w:rsid w:val="002300D2"/>
    <w:rPr>
      <w:b/>
      <w:bCs/>
      <w:sz w:val="20"/>
      <w:szCs w:val="20"/>
    </w:rPr>
  </w:style>
  <w:style w:type="character" w:customStyle="1" w:styleId="CommentSubjectChar">
    <w:name w:val="Comment Subject Char"/>
    <w:basedOn w:val="CommentTextChar"/>
    <w:link w:val="CommentSubject"/>
    <w:uiPriority w:val="99"/>
    <w:semiHidden/>
    <w:rsid w:val="002300D2"/>
    <w:rPr>
      <w:rFonts w:ascii="Garamond" w:hAnsi="Garamond"/>
      <w:b/>
      <w:bCs/>
      <w:sz w:val="20"/>
      <w:szCs w:val="20"/>
    </w:rPr>
  </w:style>
  <w:style w:type="paragraph" w:styleId="TOC4">
    <w:name w:val="toc 4"/>
    <w:basedOn w:val="Normal"/>
    <w:next w:val="Normal"/>
    <w:autoRedefine/>
    <w:uiPriority w:val="39"/>
    <w:unhideWhenUsed/>
    <w:rsid w:val="00CA444D"/>
    <w:pPr>
      <w:ind w:left="720"/>
    </w:pPr>
  </w:style>
  <w:style w:type="paragraph" w:styleId="TOC5">
    <w:name w:val="toc 5"/>
    <w:basedOn w:val="Normal"/>
    <w:next w:val="Normal"/>
    <w:autoRedefine/>
    <w:uiPriority w:val="39"/>
    <w:unhideWhenUsed/>
    <w:rsid w:val="00CA444D"/>
    <w:pPr>
      <w:ind w:left="960"/>
    </w:pPr>
  </w:style>
  <w:style w:type="paragraph" w:styleId="TOC6">
    <w:name w:val="toc 6"/>
    <w:basedOn w:val="Normal"/>
    <w:next w:val="Normal"/>
    <w:autoRedefine/>
    <w:uiPriority w:val="39"/>
    <w:unhideWhenUsed/>
    <w:rsid w:val="00CA444D"/>
    <w:pPr>
      <w:ind w:left="1200"/>
    </w:pPr>
  </w:style>
  <w:style w:type="paragraph" w:styleId="TOC7">
    <w:name w:val="toc 7"/>
    <w:basedOn w:val="Normal"/>
    <w:next w:val="Normal"/>
    <w:autoRedefine/>
    <w:uiPriority w:val="39"/>
    <w:unhideWhenUsed/>
    <w:rsid w:val="00CA444D"/>
    <w:pPr>
      <w:ind w:left="1440"/>
    </w:pPr>
  </w:style>
  <w:style w:type="paragraph" w:styleId="TOC8">
    <w:name w:val="toc 8"/>
    <w:basedOn w:val="Normal"/>
    <w:next w:val="Normal"/>
    <w:autoRedefine/>
    <w:uiPriority w:val="39"/>
    <w:unhideWhenUsed/>
    <w:rsid w:val="00CA444D"/>
    <w:pPr>
      <w:ind w:left="1680"/>
    </w:pPr>
  </w:style>
  <w:style w:type="paragraph" w:styleId="TOC9">
    <w:name w:val="toc 9"/>
    <w:basedOn w:val="Normal"/>
    <w:next w:val="Normal"/>
    <w:autoRedefine/>
    <w:uiPriority w:val="39"/>
    <w:unhideWhenUsed/>
    <w:rsid w:val="00CA444D"/>
    <w:pPr>
      <w:ind w:left="1920"/>
    </w:pPr>
  </w:style>
  <w:style w:type="table" w:styleId="TableGrid">
    <w:name w:val="Table Grid"/>
    <w:basedOn w:val="TableNormal"/>
    <w:uiPriority w:val="59"/>
    <w:rsid w:val="00DF5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6">
    <w:name w:val="Colorful List Accent 6"/>
    <w:basedOn w:val="TableNormal"/>
    <w:uiPriority w:val="72"/>
    <w:rsid w:val="00DF5014"/>
    <w:pPr>
      <w:spacing w:after="0" w:line="240" w:lineRule="auto"/>
    </w:pPr>
    <w:rPr>
      <w:color w:val="000000" w:themeColor="text1"/>
    </w:rPr>
    <w:tblPr>
      <w:tblStyleRowBandSize w:val="1"/>
      <w:tblStyleColBandSize w:val="1"/>
    </w:tblPr>
    <w:tcPr>
      <w:shd w:val="clear" w:color="auto" w:fill="FBFAF7" w:themeFill="accent6" w:themeFillTint="19"/>
    </w:tcPr>
    <w:tblStylePr w:type="firstRow">
      <w:rPr>
        <w:b/>
        <w:bCs/>
        <w:color w:val="FFFFFF" w:themeColor="background1"/>
      </w:rPr>
      <w:tblPr/>
      <w:tcPr>
        <w:tcBorders>
          <w:bottom w:val="single" w:sz="12" w:space="0" w:color="FFFFFF" w:themeColor="background1"/>
        </w:tcBorders>
        <w:shd w:val="clear" w:color="auto" w:fill="A24C10" w:themeFill="accent5" w:themeFillShade="CC"/>
      </w:tcPr>
    </w:tblStylePr>
    <w:tblStylePr w:type="lastRow">
      <w:rPr>
        <w:b/>
        <w:bCs/>
        <w:color w:val="A24C1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4EB" w:themeFill="accent6" w:themeFillTint="3F"/>
      </w:tcPr>
    </w:tblStylePr>
    <w:tblStylePr w:type="band1Horz">
      <w:tblPr/>
      <w:tcPr>
        <w:shd w:val="clear" w:color="auto" w:fill="F7F6EF" w:themeFill="accent6" w:themeFillTint="33"/>
      </w:tcPr>
    </w:tblStylePr>
  </w:style>
  <w:style w:type="paragraph" w:styleId="Caption">
    <w:name w:val="caption"/>
    <w:basedOn w:val="Normal"/>
    <w:next w:val="Normal"/>
    <w:uiPriority w:val="35"/>
    <w:unhideWhenUsed/>
    <w:qFormat/>
    <w:rsid w:val="00B340DF"/>
    <w:pPr>
      <w:keepNext/>
      <w:spacing w:before="120" w:after="0"/>
    </w:pPr>
    <w:rPr>
      <w:rFonts w:asciiTheme="majorHAnsi" w:hAnsiTheme="majorHAnsi"/>
      <w:b/>
      <w:bCs/>
      <w:color w:val="14414C" w:themeColor="accent1"/>
      <w:sz w:val="22"/>
    </w:rPr>
  </w:style>
  <w:style w:type="table" w:styleId="MediumShading2-Accent4">
    <w:name w:val="Medium Shading 2 Accent 4"/>
    <w:basedOn w:val="TableNormal"/>
    <w:uiPriority w:val="64"/>
    <w:rsid w:val="00AD362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AEA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AEAE" w:themeFill="accent4"/>
      </w:tcPr>
    </w:tblStylePr>
    <w:tblStylePr w:type="lastCol">
      <w:rPr>
        <w:b/>
        <w:bCs/>
        <w:color w:val="FFFFFF" w:themeColor="background1"/>
      </w:rPr>
      <w:tblPr/>
      <w:tcPr>
        <w:tcBorders>
          <w:left w:val="nil"/>
          <w:right w:val="nil"/>
          <w:insideH w:val="nil"/>
          <w:insideV w:val="nil"/>
        </w:tcBorders>
        <w:shd w:val="clear" w:color="auto" w:fill="7CAEA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4">
    <w:name w:val="Medium List 2 Accent 4"/>
    <w:basedOn w:val="TableNormal"/>
    <w:uiPriority w:val="66"/>
    <w:rsid w:val="00AD362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CAEAE" w:themeColor="accent4"/>
        <w:left w:val="single" w:sz="8" w:space="0" w:color="7CAEAE" w:themeColor="accent4"/>
        <w:bottom w:val="single" w:sz="8" w:space="0" w:color="7CAEAE" w:themeColor="accent4"/>
        <w:right w:val="single" w:sz="8" w:space="0" w:color="7CAEAE" w:themeColor="accent4"/>
      </w:tblBorders>
    </w:tblPr>
    <w:tblStylePr w:type="firstRow">
      <w:rPr>
        <w:sz w:val="24"/>
        <w:szCs w:val="24"/>
      </w:rPr>
      <w:tblPr/>
      <w:tcPr>
        <w:tcBorders>
          <w:top w:val="nil"/>
          <w:left w:val="nil"/>
          <w:bottom w:val="single" w:sz="24" w:space="0" w:color="7CAEAE" w:themeColor="accent4"/>
          <w:right w:val="nil"/>
          <w:insideH w:val="nil"/>
          <w:insideV w:val="nil"/>
        </w:tcBorders>
        <w:shd w:val="clear" w:color="auto" w:fill="FFFFFF" w:themeFill="background1"/>
      </w:tcPr>
    </w:tblStylePr>
    <w:tblStylePr w:type="lastRow">
      <w:tblPr/>
      <w:tcPr>
        <w:tcBorders>
          <w:top w:val="single" w:sz="8" w:space="0" w:color="7CAEA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AEAE" w:themeColor="accent4"/>
          <w:insideH w:val="nil"/>
          <w:insideV w:val="nil"/>
        </w:tcBorders>
        <w:shd w:val="clear" w:color="auto" w:fill="FFFFFF" w:themeFill="background1"/>
      </w:tcPr>
    </w:tblStylePr>
    <w:tblStylePr w:type="lastCol">
      <w:tblPr/>
      <w:tcPr>
        <w:tcBorders>
          <w:top w:val="nil"/>
          <w:left w:val="single" w:sz="8" w:space="0" w:color="7CAEA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BEB" w:themeFill="accent4" w:themeFillTint="3F"/>
      </w:tcPr>
    </w:tblStylePr>
    <w:tblStylePr w:type="band1Horz">
      <w:tblPr/>
      <w:tcPr>
        <w:tcBorders>
          <w:top w:val="nil"/>
          <w:bottom w:val="nil"/>
          <w:insideH w:val="nil"/>
          <w:insideV w:val="nil"/>
        </w:tcBorders>
        <w:shd w:val="clear" w:color="auto" w:fill="DEEB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3">
    <w:name w:val="Colorful List Accent 3"/>
    <w:basedOn w:val="TableNormal"/>
    <w:uiPriority w:val="72"/>
    <w:rsid w:val="00AD3621"/>
    <w:pPr>
      <w:spacing w:after="0" w:line="240" w:lineRule="auto"/>
    </w:pPr>
    <w:rPr>
      <w:color w:val="000000" w:themeColor="text1"/>
    </w:rPr>
    <w:tblPr>
      <w:tblStyleRowBandSize w:val="1"/>
      <w:tblStyleColBandSize w:val="1"/>
    </w:tblPr>
    <w:tcPr>
      <w:shd w:val="clear" w:color="auto" w:fill="FBF7E8" w:themeFill="accent3" w:themeFillTint="19"/>
    </w:tcPr>
    <w:tblStylePr w:type="firstRow">
      <w:rPr>
        <w:b/>
        <w:bCs/>
        <w:color w:val="FFFFFF" w:themeColor="background1"/>
      </w:rPr>
      <w:tblPr/>
      <w:tcPr>
        <w:tcBorders>
          <w:bottom w:val="single" w:sz="12" w:space="0" w:color="FFFFFF" w:themeColor="background1"/>
        </w:tcBorders>
        <w:shd w:val="clear" w:color="auto" w:fill="5B9393" w:themeFill="accent4" w:themeFillShade="CC"/>
      </w:tcPr>
    </w:tblStylePr>
    <w:tblStylePr w:type="lastRow">
      <w:rPr>
        <w:b/>
        <w:bCs/>
        <w:color w:val="5B939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CC6" w:themeFill="accent3" w:themeFillTint="3F"/>
      </w:tcPr>
    </w:tblStylePr>
    <w:tblStylePr w:type="band1Horz">
      <w:tblPr/>
      <w:tcPr>
        <w:shd w:val="clear" w:color="auto" w:fill="F7F0D1" w:themeFill="accent3" w:themeFillTint="33"/>
      </w:tcPr>
    </w:tblStylePr>
  </w:style>
  <w:style w:type="table" w:styleId="LightShading-Accent4">
    <w:name w:val="Light Shading Accent 4"/>
    <w:basedOn w:val="TableNormal"/>
    <w:uiPriority w:val="60"/>
    <w:rsid w:val="00AD3621"/>
    <w:pPr>
      <w:spacing w:after="0" w:line="240" w:lineRule="auto"/>
    </w:pPr>
    <w:rPr>
      <w:color w:val="558989" w:themeColor="accent4" w:themeShade="BF"/>
    </w:rPr>
    <w:tblPr>
      <w:tblStyleRowBandSize w:val="1"/>
      <w:tblStyleColBandSize w:val="1"/>
      <w:tblBorders>
        <w:top w:val="single" w:sz="8" w:space="0" w:color="7CAEAE" w:themeColor="accent4"/>
        <w:bottom w:val="single" w:sz="8" w:space="0" w:color="7CAEAE" w:themeColor="accent4"/>
      </w:tblBorders>
    </w:tblPr>
    <w:tblStylePr w:type="firstRow">
      <w:pPr>
        <w:spacing w:before="0" w:after="0" w:line="240" w:lineRule="auto"/>
      </w:pPr>
      <w:rPr>
        <w:b/>
        <w:bCs/>
      </w:rPr>
      <w:tblPr/>
      <w:tcPr>
        <w:tcBorders>
          <w:top w:val="single" w:sz="8" w:space="0" w:color="7CAEAE" w:themeColor="accent4"/>
          <w:left w:val="nil"/>
          <w:bottom w:val="single" w:sz="8" w:space="0" w:color="7CAEAE" w:themeColor="accent4"/>
          <w:right w:val="nil"/>
          <w:insideH w:val="nil"/>
          <w:insideV w:val="nil"/>
        </w:tcBorders>
      </w:tcPr>
    </w:tblStylePr>
    <w:tblStylePr w:type="lastRow">
      <w:pPr>
        <w:spacing w:before="0" w:after="0" w:line="240" w:lineRule="auto"/>
      </w:pPr>
      <w:rPr>
        <w:b/>
        <w:bCs/>
      </w:rPr>
      <w:tblPr/>
      <w:tcPr>
        <w:tcBorders>
          <w:top w:val="single" w:sz="8" w:space="0" w:color="7CAEAE" w:themeColor="accent4"/>
          <w:left w:val="nil"/>
          <w:bottom w:val="single" w:sz="8" w:space="0" w:color="7CAEA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BEB" w:themeFill="accent4" w:themeFillTint="3F"/>
      </w:tcPr>
    </w:tblStylePr>
    <w:tblStylePr w:type="band1Horz">
      <w:tblPr/>
      <w:tcPr>
        <w:tcBorders>
          <w:left w:val="nil"/>
          <w:right w:val="nil"/>
          <w:insideH w:val="nil"/>
          <w:insideV w:val="nil"/>
        </w:tcBorders>
        <w:shd w:val="clear" w:color="auto" w:fill="DEEBEB" w:themeFill="accent4" w:themeFillTint="3F"/>
      </w:tcPr>
    </w:tblStylePr>
  </w:style>
  <w:style w:type="table" w:styleId="LightList-Accent5">
    <w:name w:val="Light List Accent 5"/>
    <w:basedOn w:val="TableNormal"/>
    <w:uiPriority w:val="61"/>
    <w:rsid w:val="00B126C2"/>
    <w:pPr>
      <w:spacing w:after="0" w:line="240" w:lineRule="auto"/>
    </w:pPr>
    <w:tblPr>
      <w:tblStyleRowBandSize w:val="1"/>
      <w:tblStyleColBandSize w:val="1"/>
      <w:tblBorders>
        <w:top w:val="single" w:sz="8" w:space="0" w:color="CB6015" w:themeColor="accent5"/>
        <w:left w:val="single" w:sz="8" w:space="0" w:color="CB6015" w:themeColor="accent5"/>
        <w:bottom w:val="single" w:sz="8" w:space="0" w:color="CB6015" w:themeColor="accent5"/>
        <w:right w:val="single" w:sz="8" w:space="0" w:color="CB6015" w:themeColor="accent5"/>
      </w:tblBorders>
    </w:tblPr>
    <w:tblStylePr w:type="firstRow">
      <w:pPr>
        <w:spacing w:before="0" w:after="0" w:line="240" w:lineRule="auto"/>
      </w:pPr>
      <w:rPr>
        <w:b/>
        <w:bCs/>
        <w:color w:val="FFFFFF" w:themeColor="background1"/>
      </w:rPr>
      <w:tblPr/>
      <w:tcPr>
        <w:shd w:val="clear" w:color="auto" w:fill="CB6015" w:themeFill="accent5"/>
      </w:tcPr>
    </w:tblStylePr>
    <w:tblStylePr w:type="lastRow">
      <w:pPr>
        <w:spacing w:before="0" w:after="0" w:line="240" w:lineRule="auto"/>
      </w:pPr>
      <w:rPr>
        <w:b/>
        <w:bCs/>
      </w:rPr>
      <w:tblPr/>
      <w:tcPr>
        <w:tcBorders>
          <w:top w:val="double" w:sz="6" w:space="0" w:color="CB6015" w:themeColor="accent5"/>
          <w:left w:val="single" w:sz="8" w:space="0" w:color="CB6015" w:themeColor="accent5"/>
          <w:bottom w:val="single" w:sz="8" w:space="0" w:color="CB6015" w:themeColor="accent5"/>
          <w:right w:val="single" w:sz="8" w:space="0" w:color="CB6015" w:themeColor="accent5"/>
        </w:tcBorders>
      </w:tcPr>
    </w:tblStylePr>
    <w:tblStylePr w:type="firstCol">
      <w:rPr>
        <w:b/>
        <w:bCs/>
      </w:rPr>
    </w:tblStylePr>
    <w:tblStylePr w:type="lastCol">
      <w:rPr>
        <w:b/>
        <w:bCs/>
      </w:rPr>
    </w:tblStylePr>
    <w:tblStylePr w:type="band1Vert">
      <w:tblPr/>
      <w:tcPr>
        <w:tcBorders>
          <w:top w:val="single" w:sz="8" w:space="0" w:color="CB6015" w:themeColor="accent5"/>
          <w:left w:val="single" w:sz="8" w:space="0" w:color="CB6015" w:themeColor="accent5"/>
          <w:bottom w:val="single" w:sz="8" w:space="0" w:color="CB6015" w:themeColor="accent5"/>
          <w:right w:val="single" w:sz="8" w:space="0" w:color="CB6015" w:themeColor="accent5"/>
        </w:tcBorders>
      </w:tcPr>
    </w:tblStylePr>
    <w:tblStylePr w:type="band1Horz">
      <w:tblPr/>
      <w:tcPr>
        <w:tcBorders>
          <w:top w:val="single" w:sz="8" w:space="0" w:color="CB6015" w:themeColor="accent5"/>
          <w:left w:val="single" w:sz="8" w:space="0" w:color="CB6015" w:themeColor="accent5"/>
          <w:bottom w:val="single" w:sz="8" w:space="0" w:color="CB6015" w:themeColor="accent5"/>
          <w:right w:val="single" w:sz="8" w:space="0" w:color="CB6015" w:themeColor="accent5"/>
        </w:tcBorders>
      </w:tcPr>
    </w:tblStylePr>
  </w:style>
  <w:style w:type="table" w:styleId="MediumShading1-Accent5">
    <w:name w:val="Medium Shading 1 Accent 5"/>
    <w:basedOn w:val="TableNormal"/>
    <w:uiPriority w:val="63"/>
    <w:rsid w:val="00B126C2"/>
    <w:pPr>
      <w:spacing w:after="0" w:line="240" w:lineRule="auto"/>
    </w:pPr>
    <w:tblPr>
      <w:tblStyleRowBandSize w:val="1"/>
      <w:tblStyleColBandSize w:val="1"/>
      <w:tblBorders>
        <w:top w:val="single" w:sz="8" w:space="0" w:color="EB843C" w:themeColor="accent5" w:themeTint="BF"/>
        <w:left w:val="single" w:sz="8" w:space="0" w:color="EB843C" w:themeColor="accent5" w:themeTint="BF"/>
        <w:bottom w:val="single" w:sz="8" w:space="0" w:color="EB843C" w:themeColor="accent5" w:themeTint="BF"/>
        <w:right w:val="single" w:sz="8" w:space="0" w:color="EB843C" w:themeColor="accent5" w:themeTint="BF"/>
        <w:insideH w:val="single" w:sz="8" w:space="0" w:color="EB843C" w:themeColor="accent5" w:themeTint="BF"/>
      </w:tblBorders>
    </w:tblPr>
    <w:tblStylePr w:type="firstRow">
      <w:pPr>
        <w:spacing w:before="0" w:after="0" w:line="240" w:lineRule="auto"/>
      </w:pPr>
      <w:rPr>
        <w:b/>
        <w:bCs/>
        <w:color w:val="FFFFFF" w:themeColor="background1"/>
      </w:rPr>
      <w:tblPr/>
      <w:tcPr>
        <w:tcBorders>
          <w:top w:val="single" w:sz="8" w:space="0" w:color="EB843C" w:themeColor="accent5" w:themeTint="BF"/>
          <w:left w:val="single" w:sz="8" w:space="0" w:color="EB843C" w:themeColor="accent5" w:themeTint="BF"/>
          <w:bottom w:val="single" w:sz="8" w:space="0" w:color="EB843C" w:themeColor="accent5" w:themeTint="BF"/>
          <w:right w:val="single" w:sz="8" w:space="0" w:color="EB843C" w:themeColor="accent5" w:themeTint="BF"/>
          <w:insideH w:val="nil"/>
          <w:insideV w:val="nil"/>
        </w:tcBorders>
        <w:shd w:val="clear" w:color="auto" w:fill="CB6015" w:themeFill="accent5"/>
      </w:tcPr>
    </w:tblStylePr>
    <w:tblStylePr w:type="lastRow">
      <w:pPr>
        <w:spacing w:before="0" w:after="0" w:line="240" w:lineRule="auto"/>
      </w:pPr>
      <w:rPr>
        <w:b/>
        <w:bCs/>
      </w:rPr>
      <w:tblPr/>
      <w:tcPr>
        <w:tcBorders>
          <w:top w:val="double" w:sz="6" w:space="0" w:color="EB843C" w:themeColor="accent5" w:themeTint="BF"/>
          <w:left w:val="single" w:sz="8" w:space="0" w:color="EB843C" w:themeColor="accent5" w:themeTint="BF"/>
          <w:bottom w:val="single" w:sz="8" w:space="0" w:color="EB843C" w:themeColor="accent5" w:themeTint="BF"/>
          <w:right w:val="single" w:sz="8" w:space="0" w:color="EB843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6BE" w:themeFill="accent5" w:themeFillTint="3F"/>
      </w:tcPr>
    </w:tblStylePr>
    <w:tblStylePr w:type="band1Horz">
      <w:tblPr/>
      <w:tcPr>
        <w:tcBorders>
          <w:insideH w:val="nil"/>
          <w:insideV w:val="nil"/>
        </w:tcBorders>
        <w:shd w:val="clear" w:color="auto" w:fill="F8D6BE" w:themeFill="accent5"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B126C2"/>
    <w:pPr>
      <w:spacing w:after="0" w:line="240" w:lineRule="auto"/>
    </w:pPr>
    <w:tblPr>
      <w:tblStyleRowBandSize w:val="1"/>
      <w:tblStyleColBandSize w:val="1"/>
      <w:tblBorders>
        <w:top w:val="single" w:sz="8" w:space="0" w:color="14414C" w:themeColor="accent1"/>
        <w:left w:val="single" w:sz="8" w:space="0" w:color="14414C" w:themeColor="accent1"/>
        <w:bottom w:val="single" w:sz="8" w:space="0" w:color="14414C" w:themeColor="accent1"/>
        <w:right w:val="single" w:sz="8" w:space="0" w:color="14414C" w:themeColor="accent1"/>
      </w:tblBorders>
    </w:tblPr>
    <w:tblStylePr w:type="firstRow">
      <w:pPr>
        <w:spacing w:before="0" w:after="0" w:line="240" w:lineRule="auto"/>
      </w:pPr>
      <w:rPr>
        <w:b/>
        <w:bCs/>
        <w:color w:val="FFFFFF" w:themeColor="background1"/>
      </w:rPr>
      <w:tblPr/>
      <w:tcPr>
        <w:shd w:val="clear" w:color="auto" w:fill="14414C" w:themeFill="accent1"/>
      </w:tcPr>
    </w:tblStylePr>
    <w:tblStylePr w:type="lastRow">
      <w:pPr>
        <w:spacing w:before="0" w:after="0" w:line="240" w:lineRule="auto"/>
      </w:pPr>
      <w:rPr>
        <w:b/>
        <w:bCs/>
      </w:rPr>
      <w:tblPr/>
      <w:tcPr>
        <w:tcBorders>
          <w:top w:val="double" w:sz="6" w:space="0" w:color="14414C" w:themeColor="accent1"/>
          <w:left w:val="single" w:sz="8" w:space="0" w:color="14414C" w:themeColor="accent1"/>
          <w:bottom w:val="single" w:sz="8" w:space="0" w:color="14414C" w:themeColor="accent1"/>
          <w:right w:val="single" w:sz="8" w:space="0" w:color="14414C" w:themeColor="accent1"/>
        </w:tcBorders>
      </w:tcPr>
    </w:tblStylePr>
    <w:tblStylePr w:type="firstCol">
      <w:rPr>
        <w:b/>
        <w:bCs/>
      </w:rPr>
    </w:tblStylePr>
    <w:tblStylePr w:type="lastCol">
      <w:rPr>
        <w:b/>
        <w:bCs/>
      </w:rPr>
    </w:tblStylePr>
    <w:tblStylePr w:type="band1Vert">
      <w:tblPr/>
      <w:tcPr>
        <w:tcBorders>
          <w:top w:val="single" w:sz="8" w:space="0" w:color="14414C" w:themeColor="accent1"/>
          <w:left w:val="single" w:sz="8" w:space="0" w:color="14414C" w:themeColor="accent1"/>
          <w:bottom w:val="single" w:sz="8" w:space="0" w:color="14414C" w:themeColor="accent1"/>
          <w:right w:val="single" w:sz="8" w:space="0" w:color="14414C" w:themeColor="accent1"/>
        </w:tcBorders>
      </w:tcPr>
    </w:tblStylePr>
    <w:tblStylePr w:type="band1Horz">
      <w:tblPr/>
      <w:tcPr>
        <w:tcBorders>
          <w:top w:val="single" w:sz="8" w:space="0" w:color="14414C" w:themeColor="accent1"/>
          <w:left w:val="single" w:sz="8" w:space="0" w:color="14414C" w:themeColor="accent1"/>
          <w:bottom w:val="single" w:sz="8" w:space="0" w:color="14414C" w:themeColor="accent1"/>
          <w:right w:val="single" w:sz="8" w:space="0" w:color="14414C" w:themeColor="accent1"/>
        </w:tcBorders>
      </w:tcPr>
    </w:tblStylePr>
  </w:style>
  <w:style w:type="table" w:styleId="LightGrid-Accent1">
    <w:name w:val="Light Grid Accent 1"/>
    <w:basedOn w:val="TableNormal"/>
    <w:uiPriority w:val="62"/>
    <w:rsid w:val="00625BEF"/>
    <w:pPr>
      <w:spacing w:after="0" w:line="240" w:lineRule="auto"/>
    </w:pPr>
    <w:tblPr>
      <w:tblStyleRowBandSize w:val="1"/>
      <w:tblStyleColBandSize w:val="1"/>
      <w:tblBorders>
        <w:top w:val="single" w:sz="8" w:space="0" w:color="14414C" w:themeColor="accent1"/>
        <w:left w:val="single" w:sz="8" w:space="0" w:color="14414C" w:themeColor="accent1"/>
        <w:bottom w:val="single" w:sz="8" w:space="0" w:color="14414C" w:themeColor="accent1"/>
        <w:right w:val="single" w:sz="8" w:space="0" w:color="14414C" w:themeColor="accent1"/>
        <w:insideH w:val="single" w:sz="8" w:space="0" w:color="14414C" w:themeColor="accent1"/>
        <w:insideV w:val="single" w:sz="8" w:space="0" w:color="14414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4414C" w:themeColor="accent1"/>
          <w:left w:val="single" w:sz="8" w:space="0" w:color="14414C" w:themeColor="accent1"/>
          <w:bottom w:val="single" w:sz="18" w:space="0" w:color="14414C" w:themeColor="accent1"/>
          <w:right w:val="single" w:sz="8" w:space="0" w:color="14414C" w:themeColor="accent1"/>
          <w:insideH w:val="nil"/>
          <w:insideV w:val="single" w:sz="8" w:space="0" w:color="14414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4414C" w:themeColor="accent1"/>
          <w:left w:val="single" w:sz="8" w:space="0" w:color="14414C" w:themeColor="accent1"/>
          <w:bottom w:val="single" w:sz="8" w:space="0" w:color="14414C" w:themeColor="accent1"/>
          <w:right w:val="single" w:sz="8" w:space="0" w:color="14414C" w:themeColor="accent1"/>
          <w:insideH w:val="nil"/>
          <w:insideV w:val="single" w:sz="8" w:space="0" w:color="14414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4414C" w:themeColor="accent1"/>
          <w:left w:val="single" w:sz="8" w:space="0" w:color="14414C" w:themeColor="accent1"/>
          <w:bottom w:val="single" w:sz="8" w:space="0" w:color="14414C" w:themeColor="accent1"/>
          <w:right w:val="single" w:sz="8" w:space="0" w:color="14414C" w:themeColor="accent1"/>
        </w:tcBorders>
      </w:tcPr>
    </w:tblStylePr>
    <w:tblStylePr w:type="band1Vert">
      <w:tblPr/>
      <w:tcPr>
        <w:tcBorders>
          <w:top w:val="single" w:sz="8" w:space="0" w:color="14414C" w:themeColor="accent1"/>
          <w:left w:val="single" w:sz="8" w:space="0" w:color="14414C" w:themeColor="accent1"/>
          <w:bottom w:val="single" w:sz="8" w:space="0" w:color="14414C" w:themeColor="accent1"/>
          <w:right w:val="single" w:sz="8" w:space="0" w:color="14414C" w:themeColor="accent1"/>
        </w:tcBorders>
        <w:shd w:val="clear" w:color="auto" w:fill="AEDDE9" w:themeFill="accent1" w:themeFillTint="3F"/>
      </w:tcPr>
    </w:tblStylePr>
    <w:tblStylePr w:type="band1Horz">
      <w:tblPr/>
      <w:tcPr>
        <w:tcBorders>
          <w:top w:val="single" w:sz="8" w:space="0" w:color="14414C" w:themeColor="accent1"/>
          <w:left w:val="single" w:sz="8" w:space="0" w:color="14414C" w:themeColor="accent1"/>
          <w:bottom w:val="single" w:sz="8" w:space="0" w:color="14414C" w:themeColor="accent1"/>
          <w:right w:val="single" w:sz="8" w:space="0" w:color="14414C" w:themeColor="accent1"/>
          <w:insideV w:val="single" w:sz="8" w:space="0" w:color="14414C" w:themeColor="accent1"/>
        </w:tcBorders>
        <w:shd w:val="clear" w:color="auto" w:fill="AEDDE9" w:themeFill="accent1" w:themeFillTint="3F"/>
      </w:tcPr>
    </w:tblStylePr>
    <w:tblStylePr w:type="band2Horz">
      <w:tblPr/>
      <w:tcPr>
        <w:tcBorders>
          <w:top w:val="single" w:sz="8" w:space="0" w:color="14414C" w:themeColor="accent1"/>
          <w:left w:val="single" w:sz="8" w:space="0" w:color="14414C" w:themeColor="accent1"/>
          <w:bottom w:val="single" w:sz="8" w:space="0" w:color="14414C" w:themeColor="accent1"/>
          <w:right w:val="single" w:sz="8" w:space="0" w:color="14414C" w:themeColor="accent1"/>
          <w:insideV w:val="single" w:sz="8" w:space="0" w:color="14414C" w:themeColor="accent1"/>
        </w:tcBorders>
      </w:tcPr>
    </w:tblStylePr>
  </w:style>
  <w:style w:type="table" w:styleId="LightShading-Accent1">
    <w:name w:val="Light Shading Accent 1"/>
    <w:basedOn w:val="TableNormal"/>
    <w:uiPriority w:val="60"/>
    <w:rsid w:val="00625BEF"/>
    <w:pPr>
      <w:spacing w:after="0" w:line="240" w:lineRule="auto"/>
    </w:pPr>
    <w:rPr>
      <w:color w:val="0F3038" w:themeColor="accent1" w:themeShade="BF"/>
    </w:rPr>
    <w:tblPr>
      <w:tblStyleRowBandSize w:val="1"/>
      <w:tblStyleColBandSize w:val="1"/>
      <w:tblBorders>
        <w:top w:val="single" w:sz="8" w:space="0" w:color="14414C" w:themeColor="accent1"/>
        <w:bottom w:val="single" w:sz="8" w:space="0" w:color="14414C" w:themeColor="accent1"/>
      </w:tblBorders>
    </w:tblPr>
    <w:tblStylePr w:type="firstRow">
      <w:pPr>
        <w:spacing w:before="0" w:after="0" w:line="240" w:lineRule="auto"/>
      </w:pPr>
      <w:rPr>
        <w:b/>
        <w:bCs/>
      </w:rPr>
      <w:tblPr/>
      <w:tcPr>
        <w:tcBorders>
          <w:top w:val="single" w:sz="8" w:space="0" w:color="14414C" w:themeColor="accent1"/>
          <w:left w:val="nil"/>
          <w:bottom w:val="single" w:sz="8" w:space="0" w:color="14414C" w:themeColor="accent1"/>
          <w:right w:val="nil"/>
          <w:insideH w:val="nil"/>
          <w:insideV w:val="nil"/>
        </w:tcBorders>
      </w:tcPr>
    </w:tblStylePr>
    <w:tblStylePr w:type="lastRow">
      <w:pPr>
        <w:spacing w:before="0" w:after="0" w:line="240" w:lineRule="auto"/>
      </w:pPr>
      <w:rPr>
        <w:b/>
        <w:bCs/>
      </w:rPr>
      <w:tblPr/>
      <w:tcPr>
        <w:tcBorders>
          <w:top w:val="single" w:sz="8" w:space="0" w:color="14414C" w:themeColor="accent1"/>
          <w:left w:val="nil"/>
          <w:bottom w:val="single" w:sz="8" w:space="0" w:color="14414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DE9" w:themeFill="accent1" w:themeFillTint="3F"/>
      </w:tcPr>
    </w:tblStylePr>
    <w:tblStylePr w:type="band1Horz">
      <w:tblPr/>
      <w:tcPr>
        <w:tcBorders>
          <w:left w:val="nil"/>
          <w:right w:val="nil"/>
          <w:insideH w:val="nil"/>
          <w:insideV w:val="nil"/>
        </w:tcBorders>
        <w:shd w:val="clear" w:color="auto" w:fill="AEDDE9" w:themeFill="accent1" w:themeFillTint="3F"/>
      </w:tcPr>
    </w:tblStylePr>
  </w:style>
  <w:style w:type="table" w:styleId="MediumShading2-Accent1">
    <w:name w:val="Medium Shading 2 Accent 1"/>
    <w:basedOn w:val="TableNormal"/>
    <w:uiPriority w:val="64"/>
    <w:rsid w:val="00342F4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4414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4414C" w:themeFill="accent1"/>
      </w:tcPr>
    </w:tblStylePr>
    <w:tblStylePr w:type="lastCol">
      <w:rPr>
        <w:b/>
        <w:bCs/>
        <w:color w:val="FFFFFF" w:themeColor="background1"/>
      </w:rPr>
      <w:tblPr/>
      <w:tcPr>
        <w:tcBorders>
          <w:left w:val="nil"/>
          <w:right w:val="nil"/>
          <w:insideH w:val="nil"/>
          <w:insideV w:val="nil"/>
        </w:tcBorders>
        <w:shd w:val="clear" w:color="auto" w:fill="14414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lientName">
    <w:name w:val="ClientName"/>
    <w:basedOn w:val="Normal"/>
    <w:qFormat/>
    <w:rsid w:val="001E1D67"/>
    <w:pPr>
      <w:spacing w:before="720" w:after="0"/>
      <w:contextualSpacing/>
      <w:jc w:val="right"/>
    </w:pPr>
    <w:rPr>
      <w:rFonts w:asciiTheme="majorHAnsi" w:hAnsiTheme="majorHAnsi"/>
      <w:sz w:val="32"/>
    </w:rPr>
  </w:style>
  <w:style w:type="paragraph" w:customStyle="1" w:styleId="acronyms">
    <w:name w:val="acronyms"/>
    <w:basedOn w:val="Normal"/>
    <w:rsid w:val="00B340DF"/>
    <w:pPr>
      <w:ind w:left="1440" w:hanging="1440"/>
    </w:pPr>
    <w:rPr>
      <w:rFonts w:asciiTheme="minorHAnsi" w:eastAsia="Times New Roman" w:hAnsiTheme="minorHAnsi" w:cs="Times New Roman"/>
      <w:szCs w:val="24"/>
      <w:lang w:eastAsia="zh-CN"/>
    </w:rPr>
  </w:style>
  <w:style w:type="paragraph" w:customStyle="1" w:styleId="Appendix1">
    <w:name w:val="Appendix 1"/>
    <w:basedOn w:val="Heading1"/>
    <w:next w:val="Normal"/>
    <w:link w:val="Appendix1Char"/>
    <w:qFormat/>
    <w:rsid w:val="00B340DF"/>
    <w:pPr>
      <w:numPr>
        <w:numId w:val="6"/>
      </w:numPr>
      <w:ind w:left="0" w:firstLine="0"/>
      <w:jc w:val="left"/>
      <w:outlineLvl w:val="1"/>
    </w:pPr>
  </w:style>
  <w:style w:type="character" w:customStyle="1" w:styleId="Appendix1Char">
    <w:name w:val="Appendix 1 Char"/>
    <w:basedOn w:val="Heading1Char"/>
    <w:link w:val="Appendix1"/>
    <w:rsid w:val="00B340DF"/>
    <w:rPr>
      <w:rFonts w:asciiTheme="majorHAnsi" w:eastAsiaTheme="majorEastAsia" w:hAnsiTheme="majorHAnsi" w:cstheme="majorBidi"/>
      <w:b/>
      <w:bCs/>
      <w:color w:val="14414C" w:themeColor="accent1"/>
      <w:sz w:val="36"/>
      <w:szCs w:val="36"/>
    </w:rPr>
  </w:style>
  <w:style w:type="paragraph" w:customStyle="1" w:styleId="Appendix2">
    <w:name w:val="Appendix 2"/>
    <w:basedOn w:val="Appendix1"/>
    <w:next w:val="Normal"/>
    <w:link w:val="Appendix2Char"/>
    <w:qFormat/>
    <w:rsid w:val="00B340DF"/>
    <w:pPr>
      <w:numPr>
        <w:ilvl w:val="1"/>
      </w:numPr>
      <w:ind w:left="0" w:firstLine="0"/>
      <w:outlineLvl w:val="2"/>
    </w:pPr>
  </w:style>
  <w:style w:type="character" w:customStyle="1" w:styleId="Appendix2Char">
    <w:name w:val="Appendix 2 Char"/>
    <w:basedOn w:val="Heading2Char"/>
    <w:link w:val="Appendix2"/>
    <w:rsid w:val="00B340DF"/>
    <w:rPr>
      <w:rFonts w:asciiTheme="majorHAnsi" w:eastAsiaTheme="majorEastAsia" w:hAnsiTheme="majorHAnsi" w:cstheme="majorBidi"/>
      <w:b/>
      <w:bCs/>
      <w:color w:val="14414C" w:themeColor="accent1"/>
      <w:sz w:val="36"/>
      <w:szCs w:val="36"/>
    </w:rPr>
  </w:style>
  <w:style w:type="paragraph" w:customStyle="1" w:styleId="Appendix3">
    <w:name w:val="Appendix 3"/>
    <w:basedOn w:val="Appendix2"/>
    <w:next w:val="Normal"/>
    <w:link w:val="Appendix3Char"/>
    <w:qFormat/>
    <w:rsid w:val="00B340DF"/>
    <w:pPr>
      <w:numPr>
        <w:ilvl w:val="2"/>
      </w:numPr>
      <w:ind w:left="0" w:firstLine="0"/>
      <w:outlineLvl w:val="3"/>
    </w:pPr>
    <w:rPr>
      <w:b w:val="0"/>
    </w:rPr>
  </w:style>
  <w:style w:type="character" w:customStyle="1" w:styleId="Appendix3Char">
    <w:name w:val="Appendix 3 Char"/>
    <w:basedOn w:val="Heading3Char"/>
    <w:link w:val="Appendix3"/>
    <w:rsid w:val="00B340DF"/>
    <w:rPr>
      <w:rFonts w:asciiTheme="majorHAnsi" w:eastAsiaTheme="majorEastAsia" w:hAnsiTheme="majorHAnsi" w:cstheme="majorBidi"/>
      <w:b w:val="0"/>
      <w:bCs/>
      <w:color w:val="14414C" w:themeColor="accent1"/>
      <w:sz w:val="36"/>
      <w:szCs w:val="36"/>
    </w:rPr>
  </w:style>
  <w:style w:type="character" w:styleId="FootnoteReference">
    <w:name w:val="footnote reference"/>
    <w:qFormat/>
    <w:rsid w:val="0083692B"/>
    <w:rPr>
      <w:vertAlign w:val="superscript"/>
    </w:rPr>
  </w:style>
  <w:style w:type="character" w:styleId="FollowedHyperlink">
    <w:name w:val="FollowedHyperlink"/>
    <w:basedOn w:val="DefaultParagraphFont"/>
    <w:uiPriority w:val="99"/>
    <w:semiHidden/>
    <w:unhideWhenUsed/>
    <w:rsid w:val="00D34774"/>
    <w:rPr>
      <w:color w:val="984810" w:themeColor="followedHyperlink"/>
      <w:u w:val="single"/>
    </w:rPr>
  </w:style>
  <w:style w:type="table" w:styleId="LightShading">
    <w:name w:val="Light Shading"/>
    <w:basedOn w:val="TableNormal"/>
    <w:uiPriority w:val="60"/>
    <w:rsid w:val="001940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19407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19407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19407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FF3309"/>
    <w:pPr>
      <w:spacing w:after="0" w:line="240" w:lineRule="auto"/>
    </w:pPr>
    <w:tblPr>
      <w:tblStyleRowBandSize w:val="1"/>
      <w:tblStyleColBandSize w:val="1"/>
      <w:tblBorders>
        <w:top w:val="single" w:sz="8" w:space="0" w:color="CB6015" w:themeColor="accent5"/>
        <w:left w:val="single" w:sz="8" w:space="0" w:color="CB6015" w:themeColor="accent5"/>
        <w:bottom w:val="single" w:sz="8" w:space="0" w:color="CB6015" w:themeColor="accent5"/>
        <w:right w:val="single" w:sz="8" w:space="0" w:color="CB6015" w:themeColor="accent5"/>
        <w:insideH w:val="single" w:sz="8" w:space="0" w:color="CB6015" w:themeColor="accent5"/>
        <w:insideV w:val="single" w:sz="8" w:space="0" w:color="CB601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6015" w:themeColor="accent5"/>
          <w:left w:val="single" w:sz="8" w:space="0" w:color="CB6015" w:themeColor="accent5"/>
          <w:bottom w:val="single" w:sz="18" w:space="0" w:color="CB6015" w:themeColor="accent5"/>
          <w:right w:val="single" w:sz="8" w:space="0" w:color="CB6015" w:themeColor="accent5"/>
          <w:insideH w:val="nil"/>
          <w:insideV w:val="single" w:sz="8" w:space="0" w:color="CB601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6015" w:themeColor="accent5"/>
          <w:left w:val="single" w:sz="8" w:space="0" w:color="CB6015" w:themeColor="accent5"/>
          <w:bottom w:val="single" w:sz="8" w:space="0" w:color="CB6015" w:themeColor="accent5"/>
          <w:right w:val="single" w:sz="8" w:space="0" w:color="CB6015" w:themeColor="accent5"/>
          <w:insideH w:val="nil"/>
          <w:insideV w:val="single" w:sz="8" w:space="0" w:color="CB601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6015" w:themeColor="accent5"/>
          <w:left w:val="single" w:sz="8" w:space="0" w:color="CB6015" w:themeColor="accent5"/>
          <w:bottom w:val="single" w:sz="8" w:space="0" w:color="CB6015" w:themeColor="accent5"/>
          <w:right w:val="single" w:sz="8" w:space="0" w:color="CB6015" w:themeColor="accent5"/>
        </w:tcBorders>
      </w:tcPr>
    </w:tblStylePr>
    <w:tblStylePr w:type="band1Vert">
      <w:tblPr/>
      <w:tcPr>
        <w:tcBorders>
          <w:top w:val="single" w:sz="8" w:space="0" w:color="CB6015" w:themeColor="accent5"/>
          <w:left w:val="single" w:sz="8" w:space="0" w:color="CB6015" w:themeColor="accent5"/>
          <w:bottom w:val="single" w:sz="8" w:space="0" w:color="CB6015" w:themeColor="accent5"/>
          <w:right w:val="single" w:sz="8" w:space="0" w:color="CB6015" w:themeColor="accent5"/>
        </w:tcBorders>
        <w:shd w:val="clear" w:color="auto" w:fill="F8D6BE" w:themeFill="accent5" w:themeFillTint="3F"/>
      </w:tcPr>
    </w:tblStylePr>
    <w:tblStylePr w:type="band1Horz">
      <w:tblPr/>
      <w:tcPr>
        <w:tcBorders>
          <w:top w:val="single" w:sz="8" w:space="0" w:color="CB6015" w:themeColor="accent5"/>
          <w:left w:val="single" w:sz="8" w:space="0" w:color="CB6015" w:themeColor="accent5"/>
          <w:bottom w:val="single" w:sz="8" w:space="0" w:color="CB6015" w:themeColor="accent5"/>
          <w:right w:val="single" w:sz="8" w:space="0" w:color="CB6015" w:themeColor="accent5"/>
          <w:insideV w:val="single" w:sz="8" w:space="0" w:color="CB6015" w:themeColor="accent5"/>
        </w:tcBorders>
        <w:shd w:val="clear" w:color="auto" w:fill="F8D6BE" w:themeFill="accent5" w:themeFillTint="3F"/>
      </w:tcPr>
    </w:tblStylePr>
    <w:tblStylePr w:type="band2Horz">
      <w:tblPr/>
      <w:tcPr>
        <w:tcBorders>
          <w:top w:val="single" w:sz="8" w:space="0" w:color="CB6015" w:themeColor="accent5"/>
          <w:left w:val="single" w:sz="8" w:space="0" w:color="CB6015" w:themeColor="accent5"/>
          <w:bottom w:val="single" w:sz="8" w:space="0" w:color="CB6015" w:themeColor="accent5"/>
          <w:right w:val="single" w:sz="8" w:space="0" w:color="CB6015" w:themeColor="accent5"/>
          <w:insideV w:val="single" w:sz="8" w:space="0" w:color="CB6015" w:themeColor="accent5"/>
        </w:tcBorders>
      </w:tcPr>
    </w:tblStylePr>
  </w:style>
  <w:style w:type="table" w:styleId="MediumGrid2-Accent1">
    <w:name w:val="Medium Grid 2 Accent 1"/>
    <w:basedOn w:val="TableNormal"/>
    <w:uiPriority w:val="68"/>
    <w:rsid w:val="003B2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4414C" w:themeColor="accent1"/>
        <w:left w:val="single" w:sz="8" w:space="0" w:color="14414C" w:themeColor="accent1"/>
        <w:bottom w:val="single" w:sz="8" w:space="0" w:color="14414C" w:themeColor="accent1"/>
        <w:right w:val="single" w:sz="8" w:space="0" w:color="14414C" w:themeColor="accent1"/>
        <w:insideH w:val="single" w:sz="8" w:space="0" w:color="14414C" w:themeColor="accent1"/>
        <w:insideV w:val="single" w:sz="8" w:space="0" w:color="14414C" w:themeColor="accent1"/>
      </w:tblBorders>
    </w:tblPr>
    <w:tcPr>
      <w:shd w:val="clear" w:color="auto" w:fill="AEDDE9" w:themeFill="accent1" w:themeFillTint="3F"/>
    </w:tcPr>
    <w:tblStylePr w:type="firstRow">
      <w:rPr>
        <w:b/>
        <w:bCs/>
        <w:color w:val="000000" w:themeColor="text1"/>
      </w:rPr>
      <w:tblPr/>
      <w:tcPr>
        <w:shd w:val="clear" w:color="auto" w:fill="DEF1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4ED" w:themeFill="accent1" w:themeFillTint="33"/>
      </w:tcPr>
    </w:tblStylePr>
    <w:tblStylePr w:type="band1Vert">
      <w:tblPr/>
      <w:tcPr>
        <w:shd w:val="clear" w:color="auto" w:fill="5BBBD4" w:themeFill="accent1" w:themeFillTint="7F"/>
      </w:tcPr>
    </w:tblStylePr>
    <w:tblStylePr w:type="band1Horz">
      <w:tblPr/>
      <w:tcPr>
        <w:tcBorders>
          <w:insideH w:val="single" w:sz="6" w:space="0" w:color="14414C" w:themeColor="accent1"/>
          <w:insideV w:val="single" w:sz="6" w:space="0" w:color="14414C" w:themeColor="accent1"/>
        </w:tcBorders>
        <w:shd w:val="clear" w:color="auto" w:fill="5BBBD4" w:themeFill="accent1" w:themeFillTint="7F"/>
      </w:tcPr>
    </w:tblStylePr>
    <w:tblStylePr w:type="nwCell">
      <w:tblPr/>
      <w:tcPr>
        <w:shd w:val="clear" w:color="auto" w:fill="FFFFFF" w:themeFill="background1"/>
      </w:tcPr>
    </w:tblStylePr>
  </w:style>
  <w:style w:type="table" w:styleId="MediumShading1-Accent1">
    <w:name w:val="Medium Shading 1 Accent 1"/>
    <w:basedOn w:val="TableNormal"/>
    <w:uiPriority w:val="63"/>
    <w:rsid w:val="003B2B0F"/>
    <w:pPr>
      <w:spacing w:after="0" w:line="240" w:lineRule="auto"/>
    </w:pPr>
    <w:tblPr>
      <w:tblStyleRowBandSize w:val="1"/>
      <w:tblStyleColBandSize w:val="1"/>
      <w:tblBorders>
        <w:top w:val="single" w:sz="8" w:space="0" w:color="29869E" w:themeColor="accent1" w:themeTint="BF"/>
        <w:left w:val="single" w:sz="8" w:space="0" w:color="29869E" w:themeColor="accent1" w:themeTint="BF"/>
        <w:bottom w:val="single" w:sz="8" w:space="0" w:color="29869E" w:themeColor="accent1" w:themeTint="BF"/>
        <w:right w:val="single" w:sz="8" w:space="0" w:color="29869E" w:themeColor="accent1" w:themeTint="BF"/>
        <w:insideH w:val="single" w:sz="8" w:space="0" w:color="29869E" w:themeColor="accent1" w:themeTint="BF"/>
      </w:tblBorders>
    </w:tblPr>
    <w:tblStylePr w:type="firstRow">
      <w:pPr>
        <w:spacing w:before="0" w:after="0" w:line="240" w:lineRule="auto"/>
      </w:pPr>
      <w:rPr>
        <w:b/>
        <w:bCs/>
        <w:color w:val="FFFFFF" w:themeColor="background1"/>
      </w:rPr>
      <w:tblPr/>
      <w:tcPr>
        <w:tcBorders>
          <w:top w:val="single" w:sz="8" w:space="0" w:color="29869E" w:themeColor="accent1" w:themeTint="BF"/>
          <w:left w:val="single" w:sz="8" w:space="0" w:color="29869E" w:themeColor="accent1" w:themeTint="BF"/>
          <w:bottom w:val="single" w:sz="8" w:space="0" w:color="29869E" w:themeColor="accent1" w:themeTint="BF"/>
          <w:right w:val="single" w:sz="8" w:space="0" w:color="29869E" w:themeColor="accent1" w:themeTint="BF"/>
          <w:insideH w:val="nil"/>
          <w:insideV w:val="nil"/>
        </w:tcBorders>
        <w:shd w:val="clear" w:color="auto" w:fill="14414C" w:themeFill="accent1"/>
      </w:tcPr>
    </w:tblStylePr>
    <w:tblStylePr w:type="lastRow">
      <w:pPr>
        <w:spacing w:before="0" w:after="0" w:line="240" w:lineRule="auto"/>
      </w:pPr>
      <w:rPr>
        <w:b/>
        <w:bCs/>
      </w:rPr>
      <w:tblPr/>
      <w:tcPr>
        <w:tcBorders>
          <w:top w:val="double" w:sz="6" w:space="0" w:color="29869E" w:themeColor="accent1" w:themeTint="BF"/>
          <w:left w:val="single" w:sz="8" w:space="0" w:color="29869E" w:themeColor="accent1" w:themeTint="BF"/>
          <w:bottom w:val="single" w:sz="8" w:space="0" w:color="29869E" w:themeColor="accent1" w:themeTint="BF"/>
          <w:right w:val="single" w:sz="8" w:space="0" w:color="29869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DE9" w:themeFill="accent1" w:themeFillTint="3F"/>
      </w:tcPr>
    </w:tblStylePr>
    <w:tblStylePr w:type="band1Horz">
      <w:tblPr/>
      <w:tcPr>
        <w:tcBorders>
          <w:insideH w:val="nil"/>
          <w:insideV w:val="nil"/>
        </w:tcBorders>
        <w:shd w:val="clear" w:color="auto" w:fill="AEDDE9" w:themeFill="accent1" w:themeFillTint="3F"/>
      </w:tcPr>
    </w:tblStylePr>
    <w:tblStylePr w:type="band2Horz">
      <w:tblPr/>
      <w:tcPr>
        <w:tcBorders>
          <w:insideH w:val="nil"/>
          <w:insideV w:val="nil"/>
        </w:tcBorders>
      </w:tcPr>
    </w:tblStylePr>
  </w:style>
  <w:style w:type="paragraph" w:customStyle="1" w:styleId="TableText">
    <w:name w:val="TableText"/>
    <w:basedOn w:val="Normal"/>
    <w:qFormat/>
    <w:rsid w:val="0009126A"/>
    <w:pPr>
      <w:spacing w:after="0"/>
    </w:pPr>
    <w:rPr>
      <w:rFonts w:ascii="Century Gothic" w:eastAsiaTheme="majorEastAsia" w:hAnsi="Century Gothic" w:cstheme="majorBidi"/>
      <w:color w:val="000000" w:themeColor="text1"/>
      <w:sz w:val="20"/>
      <w:szCs w:val="20"/>
    </w:rPr>
  </w:style>
  <w:style w:type="paragraph" w:styleId="NormalWeb">
    <w:name w:val="Normal (Web)"/>
    <w:basedOn w:val="Normal"/>
    <w:uiPriority w:val="99"/>
    <w:semiHidden/>
    <w:unhideWhenUsed/>
    <w:rsid w:val="002A6B58"/>
    <w:pPr>
      <w:spacing w:before="100" w:beforeAutospacing="1" w:after="100" w:afterAutospacing="1"/>
    </w:pPr>
    <w:rPr>
      <w:rFonts w:ascii="Times" w:hAnsi="Times" w:cs="Times New Roman"/>
      <w:sz w:val="20"/>
      <w:szCs w:val="20"/>
    </w:rPr>
  </w:style>
  <w:style w:type="paragraph" w:customStyle="1" w:styleId="SubtitleDate">
    <w:name w:val="Subtitle Date"/>
    <w:basedOn w:val="Subtitle"/>
    <w:next w:val="Normal"/>
    <w:qFormat/>
    <w:rsid w:val="000447AF"/>
    <w:rPr>
      <w:i/>
      <w:szCs w:val="36"/>
    </w:rPr>
  </w:style>
  <w:style w:type="paragraph" w:customStyle="1" w:styleId="LogoLeft">
    <w:name w:val="LogoLeft"/>
    <w:basedOn w:val="Normal"/>
    <w:next w:val="Normal"/>
    <w:qFormat/>
    <w:rsid w:val="00625150"/>
    <w:pPr>
      <w:spacing w:after="0"/>
      <w:ind w:left="-720"/>
    </w:pPr>
    <w:rPr>
      <w:rFonts w:asciiTheme="minorHAnsi" w:hAnsiTheme="minorHAnsi"/>
    </w:rPr>
  </w:style>
  <w:style w:type="paragraph" w:customStyle="1" w:styleId="LogoRight">
    <w:name w:val="LogoRight"/>
    <w:basedOn w:val="Normal"/>
    <w:next w:val="Normal"/>
    <w:qFormat/>
    <w:rsid w:val="00625150"/>
    <w:pPr>
      <w:spacing w:after="0"/>
      <w:jc w:val="right"/>
    </w:pPr>
    <w:rPr>
      <w:rFonts w:asciiTheme="minorHAnsi" w:hAnsiTheme="minorHAnsi"/>
    </w:rPr>
  </w:style>
  <w:style w:type="paragraph" w:styleId="ListParagraph">
    <w:name w:val="List Paragraph"/>
    <w:basedOn w:val="Normal"/>
    <w:uiPriority w:val="34"/>
    <w:qFormat/>
    <w:rsid w:val="00184BA8"/>
    <w:pPr>
      <w:numPr>
        <w:numId w:val="1"/>
      </w:numPr>
      <w:ind w:left="720"/>
      <w:contextualSpacing/>
    </w:pPr>
    <w:rPr>
      <w:rFonts w:asciiTheme="minorHAnsi" w:hAnsiTheme="minorHAnsi"/>
    </w:rPr>
  </w:style>
  <w:style w:type="paragraph" w:styleId="TableofFigures">
    <w:name w:val="table of figures"/>
    <w:basedOn w:val="Normal"/>
    <w:next w:val="Normal"/>
    <w:uiPriority w:val="99"/>
    <w:unhideWhenUsed/>
    <w:rsid w:val="007C5C66"/>
    <w:pPr>
      <w:spacing w:after="0"/>
      <w:ind w:left="806" w:hanging="806"/>
    </w:pPr>
  </w:style>
  <w:style w:type="paragraph" w:customStyle="1" w:styleId="Heading2-nonumber">
    <w:name w:val="Heading 2-no number"/>
    <w:basedOn w:val="Heading2"/>
    <w:next w:val="Normal"/>
    <w:qFormat/>
    <w:rsid w:val="00625150"/>
    <w:pPr>
      <w:numPr>
        <w:numId w:val="0"/>
      </w:numPr>
    </w:pPr>
  </w:style>
  <w:style w:type="table" w:styleId="GridTable7Colorful-Accent6">
    <w:name w:val="Grid Table 7 Colorful Accent 6"/>
    <w:basedOn w:val="TableNormal"/>
    <w:uiPriority w:val="52"/>
    <w:rsid w:val="00964B35"/>
    <w:pPr>
      <w:spacing w:after="0" w:line="240" w:lineRule="auto"/>
    </w:pPr>
    <w:rPr>
      <w:color w:val="B6AD70" w:themeColor="accent6" w:themeShade="BF"/>
    </w:rPr>
    <w:tblPr>
      <w:tblStyleRowBandSize w:val="1"/>
      <w:tblStyleColBandSize w:val="1"/>
      <w:tblBorders>
        <w:top w:val="single" w:sz="4" w:space="0" w:color="E7E4D0" w:themeColor="accent6" w:themeTint="99"/>
        <w:left w:val="single" w:sz="4" w:space="0" w:color="E7E4D0" w:themeColor="accent6" w:themeTint="99"/>
        <w:bottom w:val="single" w:sz="4" w:space="0" w:color="E7E4D0" w:themeColor="accent6" w:themeTint="99"/>
        <w:right w:val="single" w:sz="4" w:space="0" w:color="E7E4D0" w:themeColor="accent6" w:themeTint="99"/>
        <w:insideH w:val="single" w:sz="4" w:space="0" w:color="E7E4D0" w:themeColor="accent6" w:themeTint="99"/>
        <w:insideV w:val="single" w:sz="4" w:space="0" w:color="E7E4D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6EF" w:themeFill="accent6" w:themeFillTint="33"/>
      </w:tcPr>
    </w:tblStylePr>
    <w:tblStylePr w:type="band1Horz">
      <w:tblPr/>
      <w:tcPr>
        <w:shd w:val="clear" w:color="auto" w:fill="F7F6EF" w:themeFill="accent6" w:themeFillTint="33"/>
      </w:tcPr>
    </w:tblStylePr>
    <w:tblStylePr w:type="neCell">
      <w:tblPr/>
      <w:tcPr>
        <w:tcBorders>
          <w:bottom w:val="single" w:sz="4" w:space="0" w:color="E7E4D0" w:themeColor="accent6" w:themeTint="99"/>
        </w:tcBorders>
      </w:tcPr>
    </w:tblStylePr>
    <w:tblStylePr w:type="nwCell">
      <w:tblPr/>
      <w:tcPr>
        <w:tcBorders>
          <w:bottom w:val="single" w:sz="4" w:space="0" w:color="E7E4D0" w:themeColor="accent6" w:themeTint="99"/>
        </w:tcBorders>
      </w:tcPr>
    </w:tblStylePr>
    <w:tblStylePr w:type="seCell">
      <w:tblPr/>
      <w:tcPr>
        <w:tcBorders>
          <w:top w:val="single" w:sz="4" w:space="0" w:color="E7E4D0" w:themeColor="accent6" w:themeTint="99"/>
        </w:tcBorders>
      </w:tcPr>
    </w:tblStylePr>
    <w:tblStylePr w:type="swCell">
      <w:tblPr/>
      <w:tcPr>
        <w:tcBorders>
          <w:top w:val="single" w:sz="4" w:space="0" w:color="E7E4D0" w:themeColor="accent6" w:themeTint="99"/>
        </w:tcBorders>
      </w:tcPr>
    </w:tblStylePr>
  </w:style>
  <w:style w:type="paragraph" w:customStyle="1" w:styleId="Resume-Body">
    <w:name w:val="Resume-Body"/>
    <w:basedOn w:val="Normal"/>
    <w:qFormat/>
    <w:rsid w:val="00625150"/>
    <w:pPr>
      <w:spacing w:after="0"/>
      <w:ind w:firstLine="288"/>
    </w:pPr>
    <w:rPr>
      <w:rFonts w:asciiTheme="minorHAnsi" w:hAnsiTheme="minorHAnsi"/>
    </w:rPr>
  </w:style>
  <w:style w:type="character" w:styleId="UnresolvedMention">
    <w:name w:val="Unresolved Mention"/>
    <w:basedOn w:val="DefaultParagraphFont"/>
    <w:uiPriority w:val="99"/>
    <w:semiHidden/>
    <w:unhideWhenUsed/>
    <w:rsid w:val="0017379E"/>
    <w:rPr>
      <w:color w:val="808080"/>
      <w:shd w:val="clear" w:color="auto" w:fill="E6E6E6"/>
    </w:rPr>
  </w:style>
  <w:style w:type="paragraph" w:customStyle="1" w:styleId="ResumeBlock">
    <w:name w:val="ResumeBlock"/>
    <w:basedOn w:val="Normal"/>
    <w:qFormat/>
    <w:rsid w:val="00625150"/>
    <w:pPr>
      <w:spacing w:after="60"/>
      <w:contextualSpacing/>
    </w:pPr>
    <w:rPr>
      <w:rFonts w:asciiTheme="minorHAnsi" w:hAnsiTheme="minorHAnsi"/>
    </w:rPr>
  </w:style>
  <w:style w:type="paragraph" w:customStyle="1" w:styleId="ResumeName">
    <w:name w:val="ResumeName"/>
    <w:basedOn w:val="Appendix2"/>
    <w:link w:val="ResumeNameChar"/>
    <w:qFormat/>
    <w:rsid w:val="0003107C"/>
    <w:pPr>
      <w:pageBreakBefore/>
      <w:numPr>
        <w:ilvl w:val="0"/>
        <w:numId w:val="0"/>
      </w:numPr>
    </w:pPr>
    <w:rPr>
      <w:bCs w:val="0"/>
    </w:rPr>
  </w:style>
  <w:style w:type="character" w:customStyle="1" w:styleId="ResumeNameChar">
    <w:name w:val="ResumeName Char"/>
    <w:basedOn w:val="DefaultParagraphFont"/>
    <w:link w:val="ResumeName"/>
    <w:rsid w:val="0003107C"/>
    <w:rPr>
      <w:rFonts w:ascii="Century Gothic" w:eastAsiaTheme="majorEastAsia" w:hAnsi="Century Gothic" w:cstheme="majorBidi"/>
      <w:b/>
      <w:color w:val="14414C" w:themeColor="accent1"/>
      <w:sz w:val="24"/>
      <w:szCs w:val="36"/>
    </w:rPr>
  </w:style>
  <w:style w:type="paragraph" w:customStyle="1" w:styleId="ResumeSection">
    <w:name w:val="ResumeSection"/>
    <w:basedOn w:val="Heading2"/>
    <w:link w:val="ResumeSectionChar"/>
    <w:qFormat/>
    <w:rsid w:val="0003107C"/>
    <w:pPr>
      <w:numPr>
        <w:numId w:val="0"/>
      </w:numPr>
      <w:pBdr>
        <w:bottom w:val="single" w:sz="4" w:space="1" w:color="auto"/>
      </w:pBdr>
      <w:tabs>
        <w:tab w:val="right" w:pos="9360"/>
      </w:tabs>
      <w:spacing w:before="120"/>
      <w:outlineLvl w:val="9"/>
    </w:pPr>
    <w:rPr>
      <w:sz w:val="24"/>
      <w:szCs w:val="24"/>
    </w:rPr>
  </w:style>
  <w:style w:type="character" w:customStyle="1" w:styleId="ResumeSectionChar">
    <w:name w:val="ResumeSection Char"/>
    <w:basedOn w:val="ResumeNameChar"/>
    <w:link w:val="ResumeSection"/>
    <w:rsid w:val="0003107C"/>
    <w:rPr>
      <w:rFonts w:ascii="Century Gothic" w:eastAsiaTheme="majorEastAsia" w:hAnsi="Century Gothic" w:cstheme="majorBidi"/>
      <w:b/>
      <w:bCs/>
      <w:color w:val="14414C" w:themeColor="accent1"/>
      <w:sz w:val="24"/>
      <w:szCs w:val="24"/>
    </w:rPr>
  </w:style>
  <w:style w:type="paragraph" w:styleId="BalloonText">
    <w:name w:val="Balloon Text"/>
    <w:basedOn w:val="Normal"/>
    <w:link w:val="BalloonTextChar"/>
    <w:uiPriority w:val="99"/>
    <w:semiHidden/>
    <w:unhideWhenUsed/>
    <w:rsid w:val="0003107C"/>
    <w:pPr>
      <w:spacing w:after="0"/>
      <w:ind w:firstLine="288"/>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07C"/>
    <w:rPr>
      <w:rFonts w:ascii="Segoe UI" w:hAnsi="Segoe UI" w:cs="Segoe UI"/>
      <w:sz w:val="18"/>
      <w:szCs w:val="18"/>
    </w:rPr>
  </w:style>
  <w:style w:type="paragraph" w:customStyle="1" w:styleId="ResumeReference">
    <w:name w:val="ResumeReference"/>
    <w:basedOn w:val="Normal"/>
    <w:qFormat/>
    <w:rsid w:val="0003107C"/>
    <w:pPr>
      <w:spacing w:after="0"/>
      <w:ind w:left="288" w:hanging="288"/>
    </w:pPr>
    <w:rPr>
      <w:rFonts w:asciiTheme="minorHAnsi" w:eastAsia="Times New Roman" w:hAnsiTheme="minorHAnsi" w:cs="Times New Roman"/>
      <w:szCs w:val="21"/>
      <w:lang w:eastAsia="zh-CN"/>
    </w:rPr>
  </w:style>
  <w:style w:type="paragraph" w:styleId="Revision">
    <w:name w:val="Revision"/>
    <w:hidden/>
    <w:uiPriority w:val="99"/>
    <w:semiHidden/>
    <w:rsid w:val="0003107C"/>
    <w:pPr>
      <w:spacing w:after="0" w:line="240" w:lineRule="auto"/>
    </w:pPr>
    <w:rPr>
      <w:rFonts w:ascii="Garamond" w:hAnsi="Garamond"/>
      <w:sz w:val="24"/>
    </w:rPr>
  </w:style>
  <w:style w:type="paragraph" w:customStyle="1" w:styleId="ResumeWork">
    <w:name w:val="ResumeWork"/>
    <w:basedOn w:val="Normal"/>
    <w:qFormat/>
    <w:rsid w:val="00B1037B"/>
    <w:pPr>
      <w:tabs>
        <w:tab w:val="right" w:pos="9360"/>
      </w:tabs>
      <w:spacing w:after="0"/>
    </w:pPr>
    <w:rPr>
      <w:rFonts w:asciiTheme="minorHAnsi" w:eastAsiaTheme="majorEastAsia" w:hAnsiTheme="minorHAnsi" w:cs="Times New Roman"/>
      <w:b/>
      <w:lang w:eastAsia="zh-CN"/>
    </w:rPr>
  </w:style>
  <w:style w:type="paragraph" w:customStyle="1" w:styleId="ResumeEd">
    <w:name w:val="ResumeEd"/>
    <w:basedOn w:val="ResumeWork"/>
    <w:qFormat/>
    <w:rsid w:val="0003107C"/>
    <w:rPr>
      <w:b w:val="0"/>
    </w:rPr>
  </w:style>
  <w:style w:type="paragraph" w:customStyle="1" w:styleId="ResumeIndent">
    <w:name w:val="ResumeIndent"/>
    <w:basedOn w:val="Normal"/>
    <w:qFormat/>
    <w:rsid w:val="0003107C"/>
    <w:pPr>
      <w:spacing w:after="0"/>
      <w:ind w:left="288"/>
    </w:pPr>
    <w:rPr>
      <w:rFonts w:asciiTheme="minorHAnsi" w:hAnsiTheme="minorHAnsi"/>
    </w:rPr>
  </w:style>
  <w:style w:type="paragraph" w:customStyle="1" w:styleId="TableHead">
    <w:name w:val="TableHead"/>
    <w:basedOn w:val="Normal"/>
    <w:qFormat/>
    <w:rsid w:val="0009126A"/>
    <w:pPr>
      <w:spacing w:after="0"/>
    </w:pPr>
    <w:rPr>
      <w:rFonts w:asciiTheme="majorHAnsi" w:hAnsiTheme="majorHAnsi"/>
      <w:b/>
      <w:sz w:val="20"/>
      <w:szCs w:val="20"/>
    </w:rPr>
  </w:style>
  <w:style w:type="character" w:customStyle="1" w:styleId="keyword">
    <w:name w:val="keyword"/>
    <w:rsid w:val="007A3284"/>
    <w:rPr>
      <w:b/>
      <w:caps/>
      <w:sz w:val="20"/>
      <w:szCs w:val="20"/>
    </w:rPr>
  </w:style>
  <w:style w:type="paragraph" w:customStyle="1" w:styleId="Agendainfo">
    <w:name w:val="Agenda info"/>
    <w:basedOn w:val="Normal"/>
    <w:link w:val="AgendainfoChar"/>
    <w:qFormat/>
    <w:rsid w:val="00B340DF"/>
    <w:pPr>
      <w:tabs>
        <w:tab w:val="left" w:pos="7020"/>
      </w:tabs>
      <w:ind w:left="3600" w:hanging="3600"/>
    </w:pPr>
    <w:rPr>
      <w:rFonts w:asciiTheme="minorHAnsi" w:eastAsia="Times New Roman" w:hAnsiTheme="minorHAnsi" w:cs="Times New Roman"/>
      <w:szCs w:val="24"/>
    </w:rPr>
  </w:style>
  <w:style w:type="character" w:customStyle="1" w:styleId="AgendainfoChar">
    <w:name w:val="Agenda info Char"/>
    <w:basedOn w:val="BodyTextChar"/>
    <w:link w:val="Agendainfo"/>
    <w:rsid w:val="00B340DF"/>
    <w:rPr>
      <w:rFonts w:ascii="Garamond" w:eastAsia="Times New Roman" w:hAnsi="Garamond" w:cs="Times New Roman"/>
      <w:sz w:val="24"/>
      <w:szCs w:val="24"/>
    </w:rPr>
  </w:style>
  <w:style w:type="paragraph" w:styleId="BodyText">
    <w:name w:val="Body Text"/>
    <w:basedOn w:val="Normal"/>
    <w:link w:val="BodyTextChar"/>
    <w:uiPriority w:val="99"/>
    <w:semiHidden/>
    <w:unhideWhenUsed/>
    <w:rsid w:val="007A3284"/>
  </w:style>
  <w:style w:type="character" w:customStyle="1" w:styleId="BodyTextChar">
    <w:name w:val="Body Text Char"/>
    <w:basedOn w:val="DefaultParagraphFont"/>
    <w:link w:val="BodyText"/>
    <w:uiPriority w:val="99"/>
    <w:semiHidden/>
    <w:rsid w:val="007A3284"/>
    <w:rPr>
      <w:rFonts w:ascii="Garamond"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04070">
      <w:bodyDiv w:val="1"/>
      <w:marLeft w:val="0"/>
      <w:marRight w:val="0"/>
      <w:marTop w:val="0"/>
      <w:marBottom w:val="0"/>
      <w:divBdr>
        <w:top w:val="none" w:sz="0" w:space="0" w:color="auto"/>
        <w:left w:val="none" w:sz="0" w:space="0" w:color="auto"/>
        <w:bottom w:val="none" w:sz="0" w:space="0" w:color="auto"/>
        <w:right w:val="none" w:sz="0" w:space="0" w:color="auto"/>
      </w:divBdr>
    </w:div>
    <w:div w:id="376585934">
      <w:bodyDiv w:val="1"/>
      <w:marLeft w:val="0"/>
      <w:marRight w:val="0"/>
      <w:marTop w:val="0"/>
      <w:marBottom w:val="0"/>
      <w:divBdr>
        <w:top w:val="none" w:sz="0" w:space="0" w:color="auto"/>
        <w:left w:val="none" w:sz="0" w:space="0" w:color="auto"/>
        <w:bottom w:val="none" w:sz="0" w:space="0" w:color="auto"/>
        <w:right w:val="none" w:sz="0" w:space="0" w:color="auto"/>
      </w:divBdr>
    </w:div>
    <w:div w:id="754669754">
      <w:bodyDiv w:val="1"/>
      <w:marLeft w:val="0"/>
      <w:marRight w:val="0"/>
      <w:marTop w:val="0"/>
      <w:marBottom w:val="0"/>
      <w:divBdr>
        <w:top w:val="none" w:sz="0" w:space="0" w:color="auto"/>
        <w:left w:val="none" w:sz="0" w:space="0" w:color="auto"/>
        <w:bottom w:val="none" w:sz="0" w:space="0" w:color="auto"/>
        <w:right w:val="none" w:sz="0" w:space="0" w:color="auto"/>
      </w:divBdr>
    </w:div>
    <w:div w:id="1105922592">
      <w:bodyDiv w:val="1"/>
      <w:marLeft w:val="0"/>
      <w:marRight w:val="0"/>
      <w:marTop w:val="0"/>
      <w:marBottom w:val="0"/>
      <w:divBdr>
        <w:top w:val="none" w:sz="0" w:space="0" w:color="auto"/>
        <w:left w:val="none" w:sz="0" w:space="0" w:color="auto"/>
        <w:bottom w:val="none" w:sz="0" w:space="0" w:color="auto"/>
        <w:right w:val="none" w:sz="0" w:space="0" w:color="auto"/>
      </w:divBdr>
    </w:div>
    <w:div w:id="1257900701">
      <w:bodyDiv w:val="1"/>
      <w:marLeft w:val="0"/>
      <w:marRight w:val="0"/>
      <w:marTop w:val="0"/>
      <w:marBottom w:val="0"/>
      <w:divBdr>
        <w:top w:val="none" w:sz="0" w:space="0" w:color="auto"/>
        <w:left w:val="none" w:sz="0" w:space="0" w:color="auto"/>
        <w:bottom w:val="none" w:sz="0" w:space="0" w:color="auto"/>
        <w:right w:val="none" w:sz="0" w:space="0" w:color="auto"/>
      </w:divBdr>
    </w:div>
    <w:div w:id="1290160273">
      <w:bodyDiv w:val="1"/>
      <w:marLeft w:val="0"/>
      <w:marRight w:val="0"/>
      <w:marTop w:val="0"/>
      <w:marBottom w:val="0"/>
      <w:divBdr>
        <w:top w:val="none" w:sz="0" w:space="0" w:color="auto"/>
        <w:left w:val="none" w:sz="0" w:space="0" w:color="auto"/>
        <w:bottom w:val="none" w:sz="0" w:space="0" w:color="auto"/>
        <w:right w:val="none" w:sz="0" w:space="0" w:color="auto"/>
      </w:divBdr>
    </w:div>
    <w:div w:id="1709527827">
      <w:bodyDiv w:val="1"/>
      <w:marLeft w:val="0"/>
      <w:marRight w:val="0"/>
      <w:marTop w:val="0"/>
      <w:marBottom w:val="0"/>
      <w:divBdr>
        <w:top w:val="none" w:sz="0" w:space="0" w:color="auto"/>
        <w:left w:val="none" w:sz="0" w:space="0" w:color="auto"/>
        <w:bottom w:val="none" w:sz="0" w:space="0" w:color="auto"/>
        <w:right w:val="none" w:sz="0" w:space="0" w:color="auto"/>
      </w:divBdr>
    </w:div>
    <w:div w:id="2037584513">
      <w:bodyDiv w:val="1"/>
      <w:marLeft w:val="0"/>
      <w:marRight w:val="0"/>
      <w:marTop w:val="0"/>
      <w:marBottom w:val="0"/>
      <w:divBdr>
        <w:top w:val="none" w:sz="0" w:space="0" w:color="auto"/>
        <w:left w:val="none" w:sz="0" w:space="0" w:color="auto"/>
        <w:bottom w:val="none" w:sz="0" w:space="0" w:color="auto"/>
        <w:right w:val="none" w:sz="0" w:space="0" w:color="auto"/>
      </w:divBdr>
      <w:divsChild>
        <w:div w:id="126971731">
          <w:marLeft w:val="1080"/>
          <w:marRight w:val="0"/>
          <w:marTop w:val="120"/>
          <w:marBottom w:val="0"/>
          <w:divBdr>
            <w:top w:val="none" w:sz="0" w:space="0" w:color="auto"/>
            <w:left w:val="none" w:sz="0" w:space="0" w:color="auto"/>
            <w:bottom w:val="none" w:sz="0" w:space="0" w:color="auto"/>
            <w:right w:val="none" w:sz="0" w:space="0" w:color="auto"/>
          </w:divBdr>
        </w:div>
        <w:div w:id="1187405111">
          <w:marLeft w:val="1080"/>
          <w:marRight w:val="0"/>
          <w:marTop w:val="120"/>
          <w:marBottom w:val="0"/>
          <w:divBdr>
            <w:top w:val="none" w:sz="0" w:space="0" w:color="auto"/>
            <w:left w:val="none" w:sz="0" w:space="0" w:color="auto"/>
            <w:bottom w:val="none" w:sz="0" w:space="0" w:color="auto"/>
            <w:right w:val="none" w:sz="0" w:space="0" w:color="auto"/>
          </w:divBdr>
        </w:div>
        <w:div w:id="2091535513">
          <w:marLeft w:val="1080"/>
          <w:marRight w:val="0"/>
          <w:marTop w:val="120"/>
          <w:marBottom w:val="0"/>
          <w:divBdr>
            <w:top w:val="none" w:sz="0" w:space="0" w:color="auto"/>
            <w:left w:val="none" w:sz="0" w:space="0" w:color="auto"/>
            <w:bottom w:val="none" w:sz="0" w:space="0" w:color="auto"/>
            <w:right w:val="none" w:sz="0" w:space="0" w:color="auto"/>
          </w:divBdr>
        </w:div>
        <w:div w:id="2115779508">
          <w:marLeft w:val="108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iora.alschuler@lantanagroup.com"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tiff"/><Relationship Id="rId7" Type="http://schemas.openxmlformats.org/officeDocument/2006/relationships/settings" Target="settings.xml"/><Relationship Id="rId12" Type="http://schemas.openxmlformats.org/officeDocument/2006/relationships/hyperlink" Target="http://www.lantanagroup.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www.lantanagroup.com/2018/05/02/pleasant-surprise-with-open-source-module-development/" TargetMode="External"/><Relationship Id="rId2" Type="http://schemas.openxmlformats.org/officeDocument/2006/relationships/hyperlink" Target="http://www.lantanagroup.com/2018/11/14/reduce-provider-burden-by-rethinking-the-ecqm-development-process/" TargetMode="External"/><Relationship Id="rId1" Type="http://schemas.openxmlformats.org/officeDocument/2006/relationships/hyperlink" Target="https://www.healthcare-informatics.com/article/interoperability/ehr-compatible-pharmacist-care-plan-standard-opens-door-cross-setting-data" TargetMode="External"/><Relationship Id="rId6" Type="http://schemas.openxmlformats.org/officeDocument/2006/relationships/hyperlink" Target="http://www.lantanagroup.com/tag/cdainthewild/" TargetMode="External"/><Relationship Id="rId5" Type="http://schemas.openxmlformats.org/officeDocument/2006/relationships/hyperlink" Target="http://www.lantanagroup.com/2017/05/26/notes-from-the-field/" TargetMode="External"/><Relationship Id="rId4" Type="http://schemas.openxmlformats.org/officeDocument/2006/relationships/hyperlink" Target="http://www.lantanagroup.com/2018/02/16/overcoming-reporting-challenges-with-the-antimicrobial-use-and-resistance-aur-modu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ora\Documents\Custom%20Office%20Templates\Report-L18.dotx" TargetMode="External"/></Relationships>
</file>

<file path=word/theme/theme1.xml><?xml version="1.0" encoding="utf-8"?>
<a:theme xmlns:a="http://schemas.openxmlformats.org/drawingml/2006/main" name="LCG-Word-2018">
  <a:themeElements>
    <a:clrScheme name="Lantana2018">
      <a:dk1>
        <a:srgbClr val="000000"/>
      </a:dk1>
      <a:lt1>
        <a:srgbClr val="FFFFFF"/>
      </a:lt1>
      <a:dk2>
        <a:srgbClr val="000000"/>
      </a:dk2>
      <a:lt2>
        <a:srgbClr val="FFFFFF"/>
      </a:lt2>
      <a:accent1>
        <a:srgbClr val="14414C"/>
      </a:accent1>
      <a:accent2>
        <a:srgbClr val="8C3319"/>
      </a:accent2>
      <a:accent3>
        <a:srgbClr val="CFB023"/>
      </a:accent3>
      <a:accent4>
        <a:srgbClr val="7CAEAE"/>
      </a:accent4>
      <a:accent5>
        <a:srgbClr val="CB6015"/>
      </a:accent5>
      <a:accent6>
        <a:srgbClr val="D8D3B2"/>
      </a:accent6>
      <a:hlink>
        <a:srgbClr val="0563C1"/>
      </a:hlink>
      <a:folHlink>
        <a:srgbClr val="984810"/>
      </a:folHlink>
    </a:clrScheme>
    <a:fontScheme name="LCG18-Word">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CG-Word-2018" id="{0030AE03-8853-4C9D-A7D6-A21283BFE58C}" vid="{772A3670-E588-413C-A908-60E3B47AD05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CA24FE8C20A6449E69F8DDE6DCC9BE" ma:contentTypeVersion="5" ma:contentTypeDescription="Create a new document." ma:contentTypeScope="" ma:versionID="b92834f656e14c6501fa823cc395e9f2">
  <xsd:schema xmlns:xsd="http://www.w3.org/2001/XMLSchema" xmlns:xs="http://www.w3.org/2001/XMLSchema" xmlns:p="http://schemas.microsoft.com/office/2006/metadata/properties" xmlns:ns1="http://schemas.microsoft.com/sharepoint/v3" xmlns:ns2="11ba52da-82b5-4b7e-bb31-787ae9e866d5" xmlns:ns3="670c60ab-c2f6-4f2b-ab51-9c58508224c0" targetNamespace="http://schemas.microsoft.com/office/2006/metadata/properties" ma:root="true" ma:fieldsID="4972a9064c0a9edc3cd7aa5ccc06c3b1" ns1:_="" ns2:_="" ns3:_="">
    <xsd:import namespace="http://schemas.microsoft.com/sharepoint/v3"/>
    <xsd:import namespace="11ba52da-82b5-4b7e-bb31-787ae9e866d5"/>
    <xsd:import namespace="670c60ab-c2f6-4f2b-ab51-9c58508224c0"/>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ba52da-82b5-4b7e-bb31-787ae9e866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0c60ab-c2f6-4f2b-ab51-9c58508224c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B97E0-532A-4AEC-B6EF-038784390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ba52da-82b5-4b7e-bb31-787ae9e866d5"/>
    <ds:schemaRef ds:uri="670c60ab-c2f6-4f2b-ab51-9c5850822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34DE33-20EA-4025-AD68-D610A1D594E2}">
  <ds:schemaRefs>
    <ds:schemaRef ds:uri="http://schemas.microsoft.com/sharepoint/v3/contenttype/forms"/>
  </ds:schemaRefs>
</ds:datastoreItem>
</file>

<file path=customXml/itemProps3.xml><?xml version="1.0" encoding="utf-8"?>
<ds:datastoreItem xmlns:ds="http://schemas.openxmlformats.org/officeDocument/2006/customXml" ds:itemID="{D6B9C881-3DE8-40FB-B040-B5A0CDDB0D0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6ABCDDC-76F6-4899-9FBD-E43FE5DDC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Report-L18</Template>
  <TotalTime>162</TotalTime>
  <Pages>10</Pages>
  <Words>3857</Words>
  <Characters>21990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Lantana Report</vt:lpstr>
    </vt:vector>
  </TitlesOfParts>
  <Manager/>
  <Company>Lantana Consulting Group</Company>
  <LinksUpToDate>false</LinksUpToDate>
  <CharactersWithSpaces>25796</CharactersWithSpaces>
  <SharedDoc>false</SharedDoc>
  <HyperlinkBase/>
  <HLinks>
    <vt:vector size="144" baseType="variant">
      <vt:variant>
        <vt:i4>1835062</vt:i4>
      </vt:variant>
      <vt:variant>
        <vt:i4>86</vt:i4>
      </vt:variant>
      <vt:variant>
        <vt:i4>0</vt:i4>
      </vt:variant>
      <vt:variant>
        <vt:i4>5</vt:i4>
      </vt:variant>
      <vt:variant>
        <vt:lpwstr/>
      </vt:variant>
      <vt:variant>
        <vt:lpwstr>_Toc531866464</vt:lpwstr>
      </vt:variant>
      <vt:variant>
        <vt:i4>1835062</vt:i4>
      </vt:variant>
      <vt:variant>
        <vt:i4>80</vt:i4>
      </vt:variant>
      <vt:variant>
        <vt:i4>0</vt:i4>
      </vt:variant>
      <vt:variant>
        <vt:i4>5</vt:i4>
      </vt:variant>
      <vt:variant>
        <vt:lpwstr/>
      </vt:variant>
      <vt:variant>
        <vt:lpwstr>_Toc531866463</vt:lpwstr>
      </vt:variant>
      <vt:variant>
        <vt:i4>1835062</vt:i4>
      </vt:variant>
      <vt:variant>
        <vt:i4>74</vt:i4>
      </vt:variant>
      <vt:variant>
        <vt:i4>0</vt:i4>
      </vt:variant>
      <vt:variant>
        <vt:i4>5</vt:i4>
      </vt:variant>
      <vt:variant>
        <vt:lpwstr/>
      </vt:variant>
      <vt:variant>
        <vt:lpwstr>_Toc531866462</vt:lpwstr>
      </vt:variant>
      <vt:variant>
        <vt:i4>1835062</vt:i4>
      </vt:variant>
      <vt:variant>
        <vt:i4>68</vt:i4>
      </vt:variant>
      <vt:variant>
        <vt:i4>0</vt:i4>
      </vt:variant>
      <vt:variant>
        <vt:i4>5</vt:i4>
      </vt:variant>
      <vt:variant>
        <vt:lpwstr/>
      </vt:variant>
      <vt:variant>
        <vt:lpwstr>_Toc531866461</vt:lpwstr>
      </vt:variant>
      <vt:variant>
        <vt:i4>1835062</vt:i4>
      </vt:variant>
      <vt:variant>
        <vt:i4>62</vt:i4>
      </vt:variant>
      <vt:variant>
        <vt:i4>0</vt:i4>
      </vt:variant>
      <vt:variant>
        <vt:i4>5</vt:i4>
      </vt:variant>
      <vt:variant>
        <vt:lpwstr/>
      </vt:variant>
      <vt:variant>
        <vt:lpwstr>_Toc531866460</vt:lpwstr>
      </vt:variant>
      <vt:variant>
        <vt:i4>2031670</vt:i4>
      </vt:variant>
      <vt:variant>
        <vt:i4>56</vt:i4>
      </vt:variant>
      <vt:variant>
        <vt:i4>0</vt:i4>
      </vt:variant>
      <vt:variant>
        <vt:i4>5</vt:i4>
      </vt:variant>
      <vt:variant>
        <vt:lpwstr/>
      </vt:variant>
      <vt:variant>
        <vt:lpwstr>_Toc531866459</vt:lpwstr>
      </vt:variant>
      <vt:variant>
        <vt:i4>2031670</vt:i4>
      </vt:variant>
      <vt:variant>
        <vt:i4>50</vt:i4>
      </vt:variant>
      <vt:variant>
        <vt:i4>0</vt:i4>
      </vt:variant>
      <vt:variant>
        <vt:i4>5</vt:i4>
      </vt:variant>
      <vt:variant>
        <vt:lpwstr/>
      </vt:variant>
      <vt:variant>
        <vt:lpwstr>_Toc531866458</vt:lpwstr>
      </vt:variant>
      <vt:variant>
        <vt:i4>2031670</vt:i4>
      </vt:variant>
      <vt:variant>
        <vt:i4>44</vt:i4>
      </vt:variant>
      <vt:variant>
        <vt:i4>0</vt:i4>
      </vt:variant>
      <vt:variant>
        <vt:i4>5</vt:i4>
      </vt:variant>
      <vt:variant>
        <vt:lpwstr/>
      </vt:variant>
      <vt:variant>
        <vt:lpwstr>_Toc531866457</vt:lpwstr>
      </vt:variant>
      <vt:variant>
        <vt:i4>2031670</vt:i4>
      </vt:variant>
      <vt:variant>
        <vt:i4>38</vt:i4>
      </vt:variant>
      <vt:variant>
        <vt:i4>0</vt:i4>
      </vt:variant>
      <vt:variant>
        <vt:i4>5</vt:i4>
      </vt:variant>
      <vt:variant>
        <vt:lpwstr/>
      </vt:variant>
      <vt:variant>
        <vt:lpwstr>_Toc531866456</vt:lpwstr>
      </vt:variant>
      <vt:variant>
        <vt:i4>2031670</vt:i4>
      </vt:variant>
      <vt:variant>
        <vt:i4>32</vt:i4>
      </vt:variant>
      <vt:variant>
        <vt:i4>0</vt:i4>
      </vt:variant>
      <vt:variant>
        <vt:i4>5</vt:i4>
      </vt:variant>
      <vt:variant>
        <vt:lpwstr/>
      </vt:variant>
      <vt:variant>
        <vt:lpwstr>_Toc531866455</vt:lpwstr>
      </vt:variant>
      <vt:variant>
        <vt:i4>2031670</vt:i4>
      </vt:variant>
      <vt:variant>
        <vt:i4>26</vt:i4>
      </vt:variant>
      <vt:variant>
        <vt:i4>0</vt:i4>
      </vt:variant>
      <vt:variant>
        <vt:i4>5</vt:i4>
      </vt:variant>
      <vt:variant>
        <vt:lpwstr/>
      </vt:variant>
      <vt:variant>
        <vt:lpwstr>_Toc531866454</vt:lpwstr>
      </vt:variant>
      <vt:variant>
        <vt:i4>2031670</vt:i4>
      </vt:variant>
      <vt:variant>
        <vt:i4>20</vt:i4>
      </vt:variant>
      <vt:variant>
        <vt:i4>0</vt:i4>
      </vt:variant>
      <vt:variant>
        <vt:i4>5</vt:i4>
      </vt:variant>
      <vt:variant>
        <vt:lpwstr/>
      </vt:variant>
      <vt:variant>
        <vt:lpwstr>_Toc531866453</vt:lpwstr>
      </vt:variant>
      <vt:variant>
        <vt:i4>2031670</vt:i4>
      </vt:variant>
      <vt:variant>
        <vt:i4>14</vt:i4>
      </vt:variant>
      <vt:variant>
        <vt:i4>0</vt:i4>
      </vt:variant>
      <vt:variant>
        <vt:i4>5</vt:i4>
      </vt:variant>
      <vt:variant>
        <vt:lpwstr/>
      </vt:variant>
      <vt:variant>
        <vt:lpwstr>_Toc531866452</vt:lpwstr>
      </vt:variant>
      <vt:variant>
        <vt:i4>2031670</vt:i4>
      </vt:variant>
      <vt:variant>
        <vt:i4>8</vt:i4>
      </vt:variant>
      <vt:variant>
        <vt:i4>0</vt:i4>
      </vt:variant>
      <vt:variant>
        <vt:i4>5</vt:i4>
      </vt:variant>
      <vt:variant>
        <vt:lpwstr/>
      </vt:variant>
      <vt:variant>
        <vt:lpwstr>_Toc531866451</vt:lpwstr>
      </vt:variant>
      <vt:variant>
        <vt:i4>2097216</vt:i4>
      </vt:variant>
      <vt:variant>
        <vt:i4>3</vt:i4>
      </vt:variant>
      <vt:variant>
        <vt:i4>0</vt:i4>
      </vt:variant>
      <vt:variant>
        <vt:i4>5</vt:i4>
      </vt:variant>
      <vt:variant>
        <vt:lpwstr>mailto:liora.alschuler@lantanagroup.com</vt:lpwstr>
      </vt:variant>
      <vt:variant>
        <vt:lpwstr/>
      </vt:variant>
      <vt:variant>
        <vt:i4>4194397</vt:i4>
      </vt:variant>
      <vt:variant>
        <vt:i4>0</vt:i4>
      </vt:variant>
      <vt:variant>
        <vt:i4>0</vt:i4>
      </vt:variant>
      <vt:variant>
        <vt:i4>5</vt:i4>
      </vt:variant>
      <vt:variant>
        <vt:lpwstr>http://www.lantanagroup.com/</vt:lpwstr>
      </vt:variant>
      <vt:variant>
        <vt:lpwstr/>
      </vt:variant>
      <vt:variant>
        <vt:i4>2031697</vt:i4>
      </vt:variant>
      <vt:variant>
        <vt:i4>15</vt:i4>
      </vt:variant>
      <vt:variant>
        <vt:i4>0</vt:i4>
      </vt:variant>
      <vt:variant>
        <vt:i4>5</vt:i4>
      </vt:variant>
      <vt:variant>
        <vt:lpwstr>http://www.lantanagroup.com/tag/cdainthewild/</vt:lpwstr>
      </vt:variant>
      <vt:variant>
        <vt:lpwstr/>
      </vt:variant>
      <vt:variant>
        <vt:i4>4980759</vt:i4>
      </vt:variant>
      <vt:variant>
        <vt:i4>12</vt:i4>
      </vt:variant>
      <vt:variant>
        <vt:i4>0</vt:i4>
      </vt:variant>
      <vt:variant>
        <vt:i4>5</vt:i4>
      </vt:variant>
      <vt:variant>
        <vt:lpwstr>http://www.lantanagroup.com/2017/05/26/notes-from-the-field/</vt:lpwstr>
      </vt:variant>
      <vt:variant>
        <vt:lpwstr/>
      </vt:variant>
      <vt:variant>
        <vt:i4>0</vt:i4>
      </vt:variant>
      <vt:variant>
        <vt:i4>9</vt:i4>
      </vt:variant>
      <vt:variant>
        <vt:i4>0</vt:i4>
      </vt:variant>
      <vt:variant>
        <vt:i4>5</vt:i4>
      </vt:variant>
      <vt:variant>
        <vt:lpwstr>http://www.lantanagroup.com/2018/02/16/overcoming-reporting-challenges-with-the-antimicrobial-use-and-resistance-aur-module/</vt:lpwstr>
      </vt:variant>
      <vt:variant>
        <vt:lpwstr/>
      </vt:variant>
      <vt:variant>
        <vt:i4>5308436</vt:i4>
      </vt:variant>
      <vt:variant>
        <vt:i4>6</vt:i4>
      </vt:variant>
      <vt:variant>
        <vt:i4>0</vt:i4>
      </vt:variant>
      <vt:variant>
        <vt:i4>5</vt:i4>
      </vt:variant>
      <vt:variant>
        <vt:lpwstr>http://www.lantanagroup.com/2018/05/02/pleasant-surprise-with-open-source-module-development/</vt:lpwstr>
      </vt:variant>
      <vt:variant>
        <vt:lpwstr/>
      </vt:variant>
      <vt:variant>
        <vt:i4>6291516</vt:i4>
      </vt:variant>
      <vt:variant>
        <vt:i4>3</vt:i4>
      </vt:variant>
      <vt:variant>
        <vt:i4>0</vt:i4>
      </vt:variant>
      <vt:variant>
        <vt:i4>5</vt:i4>
      </vt:variant>
      <vt:variant>
        <vt:lpwstr>https://www.healthcare-informatics.com/article/interoperability/ehr-compatible-pharmacist-care-plan-standard-opens-door-cross-setting-data</vt:lpwstr>
      </vt:variant>
      <vt:variant>
        <vt:lpwstr/>
      </vt:variant>
      <vt:variant>
        <vt:i4>1245251</vt:i4>
      </vt:variant>
      <vt:variant>
        <vt:i4>0</vt:i4>
      </vt:variant>
      <vt:variant>
        <vt:i4>0</vt:i4>
      </vt:variant>
      <vt:variant>
        <vt:i4>5</vt:i4>
      </vt:variant>
      <vt:variant>
        <vt:lpwstr>http://www.lantanagroup.com/2018/11/14/reduce-provider-burden-by-rethinking-the-ecqm-development-process/</vt:lpwstr>
      </vt:variant>
      <vt:variant>
        <vt:lpwstr/>
      </vt:variant>
      <vt:variant>
        <vt:i4>1376288</vt:i4>
      </vt:variant>
      <vt:variant>
        <vt:i4>3</vt:i4>
      </vt:variant>
      <vt:variant>
        <vt:i4>0</vt:i4>
      </vt:variant>
      <vt:variant>
        <vt:i4>5</vt:i4>
      </vt:variant>
      <vt:variant>
        <vt:lpwstr>mailto:NCVHSmail@cdc.gov</vt:lpwstr>
      </vt:variant>
      <vt:variant>
        <vt:lpwstr/>
      </vt:variant>
      <vt:variant>
        <vt:i4>4653126</vt:i4>
      </vt:variant>
      <vt:variant>
        <vt:i4>0</vt:i4>
      </vt:variant>
      <vt:variant>
        <vt:i4>0</vt:i4>
      </vt:variant>
      <vt:variant>
        <vt:i4>5</vt:i4>
      </vt:variant>
      <vt:variant>
        <vt:lpwstr>https://ncvhs.hhs.gov/wp-content/uploads/2018/10/NCVHS-Predictability-Roadmap-Narrative-Report-September-2018.pdf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Lantana Report</dc:title>
  <dc:subject/>
  <dc:creator>Liora Alschuler</dc:creator>
  <cp:keywords/>
  <dc:description/>
  <cp:lastModifiedBy>Liora Alschuler</cp:lastModifiedBy>
  <cp:revision>50</cp:revision>
  <cp:lastPrinted>2018-12-21T00:18:00Z</cp:lastPrinted>
  <dcterms:created xsi:type="dcterms:W3CDTF">2018-12-20T16:31:00Z</dcterms:created>
  <dcterms:modified xsi:type="dcterms:W3CDTF">2018-12-21T00:18:00Z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0x010100B2CA24FE8C20A6449E69F8DDE6DCC9BE</vt:lpwstr>
  </property>
</Properties>
</file>